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0B89F" w14:textId="77383959" w:rsidR="006E6452" w:rsidRPr="006E6452" w:rsidRDefault="006E6452" w:rsidP="006E6452">
      <w:pPr>
        <w:pStyle w:val="NoSpacing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6C4EA4C" wp14:editId="04B16DC1">
            <wp:simplePos x="0" y="0"/>
            <wp:positionH relativeFrom="column">
              <wp:posOffset>5859780</wp:posOffset>
            </wp:positionH>
            <wp:positionV relativeFrom="paragraph">
              <wp:posOffset>1905</wp:posOffset>
            </wp:positionV>
            <wp:extent cx="723900" cy="361950"/>
            <wp:effectExtent l="0" t="0" r="0" b="0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C39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241B538" wp14:editId="333EAAF9">
            <wp:simplePos x="0" y="0"/>
            <wp:positionH relativeFrom="margin">
              <wp:posOffset>59055</wp:posOffset>
            </wp:positionH>
            <wp:positionV relativeFrom="paragraph">
              <wp:posOffset>11430</wp:posOffset>
            </wp:positionV>
            <wp:extent cx="1142365" cy="485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57" cy="48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70C0"/>
          <w:sz w:val="24"/>
          <w:szCs w:val="24"/>
        </w:rPr>
        <w:t xml:space="preserve">             </w:t>
      </w:r>
      <w:r w:rsidRPr="006E6452">
        <w:rPr>
          <w:rFonts w:ascii="Arial" w:hAnsi="Arial" w:cs="Arial"/>
          <w:color w:val="0070C0"/>
          <w:sz w:val="24"/>
          <w:szCs w:val="24"/>
        </w:rPr>
        <w:t>St Gabriel’s</w:t>
      </w:r>
    </w:p>
    <w:p w14:paraId="5F67A119" w14:textId="5D21E96D" w:rsidR="006E6452" w:rsidRPr="006E6452" w:rsidRDefault="006E6452" w:rsidP="006E6452">
      <w:pPr>
        <w:pStyle w:val="NoSpacing"/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              </w:t>
      </w:r>
      <w:r w:rsidRPr="006E6452">
        <w:rPr>
          <w:rFonts w:ascii="Arial" w:hAnsi="Arial" w:cs="Arial"/>
          <w:color w:val="0070C0"/>
          <w:sz w:val="24"/>
          <w:szCs w:val="24"/>
        </w:rPr>
        <w:t>Roman Catholic High School</w:t>
      </w:r>
    </w:p>
    <w:p w14:paraId="617955FB" w14:textId="51D2B942" w:rsidR="00144004" w:rsidRDefault="00144004" w:rsidP="00E2168A">
      <w:pPr>
        <w:pStyle w:val="Headinglevel1"/>
        <w:spacing w:after="120"/>
        <w:rPr>
          <w:rFonts w:cs="Tahoma"/>
          <w:b w:val="0"/>
          <w:bCs/>
          <w:szCs w:val="24"/>
        </w:rPr>
      </w:pPr>
    </w:p>
    <w:p w14:paraId="75115860" w14:textId="06E4722D" w:rsidR="00E2646F" w:rsidRDefault="00CB44C0" w:rsidP="00E2168A">
      <w:pPr>
        <w:pStyle w:val="Headinglevel1"/>
        <w:spacing w:after="120"/>
        <w:rPr>
          <w:rFonts w:cs="Tahoma"/>
          <w:szCs w:val="24"/>
        </w:rPr>
      </w:pPr>
      <w:bookmarkStart w:id="0" w:name="_Hlk202418373"/>
      <w:r w:rsidRPr="00CE002D">
        <w:rPr>
          <w:rFonts w:cs="Tahoma"/>
          <w:b w:val="0"/>
          <w:bCs/>
          <w:szCs w:val="24"/>
        </w:rPr>
        <w:t>POST-RESULTS SERVICES:</w:t>
      </w:r>
      <w:r>
        <w:rPr>
          <w:rFonts w:cs="Tahoma"/>
          <w:szCs w:val="24"/>
        </w:rPr>
        <w:t xml:space="preserve"> </w:t>
      </w:r>
      <w:r w:rsidR="0085336E">
        <w:rPr>
          <w:rFonts w:cs="Tahoma"/>
          <w:szCs w:val="24"/>
        </w:rPr>
        <w:t>REQUEST, CONSENT AND PAYMENT FORM</w:t>
      </w:r>
      <w:r w:rsidR="004E1D0B">
        <w:rPr>
          <w:rFonts w:cs="Tahoma"/>
          <w:szCs w:val="24"/>
        </w:rPr>
        <w:t xml:space="preserve"> </w:t>
      </w:r>
      <w:r w:rsidR="002A0D92">
        <w:rPr>
          <w:rFonts w:cs="Tahoma"/>
          <w:b w:val="0"/>
          <w:bCs/>
          <w:szCs w:val="24"/>
        </w:rPr>
        <w:t>Summer 2025</w:t>
      </w:r>
      <w:r w:rsidR="002A0D92" w:rsidRPr="002B2C0E">
        <w:rPr>
          <w:rFonts w:cs="Tahoma"/>
          <w:b w:val="0"/>
          <w:bCs/>
          <w:szCs w:val="24"/>
        </w:rPr>
        <w:t xml:space="preserve"> series</w:t>
      </w:r>
    </w:p>
    <w:p w14:paraId="2EF4F49A" w14:textId="0CDB9214" w:rsidR="0085336E" w:rsidRPr="007B14B0" w:rsidRDefault="0085336E" w:rsidP="000F0674">
      <w:pPr>
        <w:spacing w:after="60" w:line="240" w:lineRule="auto"/>
        <w:rPr>
          <w:rFonts w:cs="Tahoma"/>
        </w:rPr>
      </w:pPr>
      <w:r w:rsidRPr="0083308E">
        <w:rPr>
          <w:rFonts w:cs="Tahoma"/>
        </w:rPr>
        <w:t>To request a Review of Results (</w:t>
      </w:r>
      <w:r w:rsidRPr="00D43BA7">
        <w:rPr>
          <w:rFonts w:cs="Tahoma"/>
          <w:bCs/>
        </w:rPr>
        <w:t>RoR</w:t>
      </w:r>
      <w:r w:rsidRPr="0083308E">
        <w:rPr>
          <w:rFonts w:cs="Tahoma"/>
        </w:rPr>
        <w:t>) service and/or an Access to Scripts (</w:t>
      </w:r>
      <w:r w:rsidRPr="00D43BA7">
        <w:rPr>
          <w:rFonts w:cs="Tahoma"/>
          <w:bCs/>
        </w:rPr>
        <w:t>ATS</w:t>
      </w:r>
      <w:r w:rsidRPr="0083308E">
        <w:rPr>
          <w:rFonts w:cs="Tahoma"/>
        </w:rPr>
        <w:t>) service, complete the</w:t>
      </w:r>
      <w:r w:rsidRPr="007B14B0">
        <w:rPr>
          <w:rFonts w:cs="Tahoma"/>
        </w:rPr>
        <w:t xml:space="preserve"> required information in the white boxes and sign and date the form to confirm </w:t>
      </w:r>
      <w:r w:rsidR="00EF6F35">
        <w:rPr>
          <w:rFonts w:cs="Tahoma"/>
        </w:rPr>
        <w:t>your</w:t>
      </w:r>
      <w:r w:rsidRPr="007B14B0">
        <w:rPr>
          <w:rFonts w:cs="Tahoma"/>
        </w:rPr>
        <w:t xml:space="preserve"> required consent. </w:t>
      </w:r>
      <w:r w:rsidR="00144004">
        <w:rPr>
          <w:rFonts w:cs="Tahoma"/>
        </w:rPr>
        <w:t>A summary of the services available are referenced below.</w:t>
      </w:r>
    </w:p>
    <w:p w14:paraId="46F9919D" w14:textId="225DBAA9" w:rsidR="002A0D92" w:rsidRPr="00197162" w:rsidRDefault="002A0D92" w:rsidP="00144004">
      <w:pPr>
        <w:pStyle w:val="ListParagraph"/>
        <w:spacing w:after="120" w:line="240" w:lineRule="auto"/>
        <w:ind w:left="788"/>
        <w:rPr>
          <w:rFonts w:cs="Tahoma"/>
          <w:sz w:val="16"/>
          <w:szCs w:val="16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2"/>
        <w:gridCol w:w="1135"/>
        <w:gridCol w:w="1701"/>
        <w:gridCol w:w="2353"/>
        <w:gridCol w:w="1616"/>
        <w:gridCol w:w="986"/>
        <w:gridCol w:w="1310"/>
      </w:tblGrid>
      <w:tr w:rsidR="00585415" w:rsidRPr="005A7DF0" w14:paraId="7BF4CAE3" w14:textId="77777777" w:rsidTr="00585415">
        <w:trPr>
          <w:cantSplit/>
          <w:trHeight w:val="368"/>
          <w:tblHeader/>
        </w:trPr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DAE274" w14:textId="6B929908" w:rsidR="00585415" w:rsidRPr="005A7DF0" w:rsidRDefault="00585415" w:rsidP="00075A20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number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E5BFA" w14:textId="146CA670" w:rsidR="00585415" w:rsidRPr="005A7DF0" w:rsidRDefault="00585415" w:rsidP="00075A20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8B4582" w14:textId="5E25FC0F" w:rsidR="00585415" w:rsidRPr="005A7DF0" w:rsidRDefault="00585415" w:rsidP="00075A20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name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67534" w14:textId="4E3F0CF4" w:rsidR="00585415" w:rsidRPr="005A7DF0" w:rsidRDefault="00585415" w:rsidP="00075A20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B11B9" w14:textId="628F4B41" w:rsidR="00585415" w:rsidRPr="005A7DF0" w:rsidRDefault="00585415" w:rsidP="00075A20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email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3CB22" w14:textId="1D7D772A" w:rsidR="00585415" w:rsidRPr="005A7DF0" w:rsidRDefault="00585415" w:rsidP="00075A20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585415" w:rsidRPr="005A7DF0" w14:paraId="23DFC2A9" w14:textId="77777777" w:rsidTr="00075A20">
        <w:trPr>
          <w:cantSplit/>
          <w:trHeight w:val="68"/>
          <w:tblHeader/>
        </w:trPr>
        <w:tc>
          <w:tcPr>
            <w:tcW w:w="8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186A1C" w14:textId="697F0636" w:rsidR="00585415" w:rsidRPr="005A7DF0" w:rsidRDefault="00585415" w:rsidP="00075A20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Awarding Body</w:t>
            </w:r>
          </w:p>
        </w:tc>
        <w:tc>
          <w:tcPr>
            <w:tcW w:w="237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ABB9EB" w14:textId="5024178C" w:rsidR="00585415" w:rsidRPr="005A7DF0" w:rsidRDefault="00585415" w:rsidP="00EF6F35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Qualification level and Subject title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84F0E" w14:textId="1397E9F5" w:rsidR="00585415" w:rsidRPr="005A7DF0" w:rsidRDefault="00585415" w:rsidP="00075A20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Paper code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D8807" w14:textId="4B75BC73" w:rsidR="00585415" w:rsidRPr="005A7DF0" w:rsidRDefault="00585415" w:rsidP="00075A20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 xml:space="preserve">SRN 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E85A5F" w14:textId="77777777" w:rsidR="00585415" w:rsidRPr="005A7DF0" w:rsidRDefault="00585415" w:rsidP="00075A20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Fee</w:t>
            </w:r>
          </w:p>
        </w:tc>
      </w:tr>
      <w:tr w:rsidR="00585415" w:rsidRPr="005A7DF0" w14:paraId="440FAD4C" w14:textId="77777777" w:rsidTr="00075A20">
        <w:trPr>
          <w:trHeight w:val="325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8032" w14:textId="15686CB7" w:rsidR="00585415" w:rsidRPr="005A7DF0" w:rsidRDefault="00585415" w:rsidP="00EF6F35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DDD9" w14:textId="71EC095F" w:rsidR="00585415" w:rsidRPr="005A7DF0" w:rsidRDefault="00585415" w:rsidP="00EF6F35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A5F3" w14:textId="03C3AE54" w:rsidR="00585415" w:rsidRPr="005A7DF0" w:rsidRDefault="00585415" w:rsidP="00EF6F35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2622" w14:textId="4446A710" w:rsidR="00585415" w:rsidRPr="005A7DF0" w:rsidRDefault="00585415" w:rsidP="00EF6F35">
            <w:pPr>
              <w:spacing w:before="120" w:after="120" w:line="240" w:lineRule="auto"/>
              <w:jc w:val="center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AB6F" w14:textId="4107B6A9" w:rsidR="00585415" w:rsidRPr="005A7DF0" w:rsidRDefault="00585415" w:rsidP="00EF6F35">
            <w:pPr>
              <w:spacing w:before="120" w:after="120" w:line="240" w:lineRule="auto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 w:rsidR="00585415" w:rsidRPr="005A7DF0" w14:paraId="364137A2" w14:textId="77777777" w:rsidTr="00075A20"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CB6" w14:textId="5E65E43D" w:rsidR="00585415" w:rsidRPr="005A7DF0" w:rsidRDefault="00585415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C44" w14:textId="684BE636" w:rsidR="00585415" w:rsidRPr="005A7DF0" w:rsidRDefault="00585415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E61" w14:textId="0E1B849D" w:rsidR="00585415" w:rsidRPr="005A7DF0" w:rsidRDefault="00585415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C97D" w14:textId="77777777" w:rsidR="00585415" w:rsidRPr="005A7DF0" w:rsidRDefault="00585415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899D" w14:textId="77777777" w:rsidR="00585415" w:rsidRPr="005A7DF0" w:rsidRDefault="00585415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 w:rsidR="00144004" w:rsidRPr="005A7DF0" w14:paraId="4D426103" w14:textId="77777777" w:rsidTr="00075A20"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8D04" w14:textId="77777777" w:rsidR="00144004" w:rsidRPr="005A7DF0" w:rsidRDefault="00144004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9BA9" w14:textId="77777777" w:rsidR="00144004" w:rsidRPr="005A7DF0" w:rsidRDefault="00144004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67A1" w14:textId="77777777" w:rsidR="00144004" w:rsidRPr="005A7DF0" w:rsidRDefault="00144004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5F09" w14:textId="77777777" w:rsidR="00144004" w:rsidRPr="005A7DF0" w:rsidRDefault="00144004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A40E" w14:textId="57B779D6" w:rsidR="00144004" w:rsidRPr="005A7DF0" w:rsidRDefault="00144004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 w:rsidR="00144004" w:rsidRPr="005A7DF0" w14:paraId="4F9CCB04" w14:textId="77777777" w:rsidTr="00075A20"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8536" w14:textId="77777777" w:rsidR="00144004" w:rsidRPr="005A7DF0" w:rsidRDefault="00144004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2947" w14:textId="77777777" w:rsidR="00144004" w:rsidRPr="005A7DF0" w:rsidRDefault="00144004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7FA2" w14:textId="77777777" w:rsidR="00144004" w:rsidRPr="005A7DF0" w:rsidRDefault="00144004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209F" w14:textId="77777777" w:rsidR="00144004" w:rsidRPr="005A7DF0" w:rsidRDefault="00144004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B80" w14:textId="34C9DEA2" w:rsidR="00144004" w:rsidRPr="005A7DF0" w:rsidRDefault="00144004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 w:rsidR="00144004" w:rsidRPr="005A7DF0" w14:paraId="3D33B5FF" w14:textId="77777777" w:rsidTr="00144004">
        <w:trPr>
          <w:trHeight w:val="377"/>
          <w:tblHeader/>
        </w:trPr>
        <w:tc>
          <w:tcPr>
            <w:tcW w:w="4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674" w14:textId="6AF86E97" w:rsidR="00144004" w:rsidRPr="00144004" w:rsidRDefault="00144004" w:rsidP="00144004">
            <w:pPr>
              <w:spacing w:before="120" w:after="120" w:line="240" w:lineRule="auto"/>
              <w:jc w:val="right"/>
              <w:rPr>
                <w:rFonts w:cs="Tahoma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cs="Tahoma"/>
                <w:b/>
                <w:color w:val="FF0000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5633" w14:textId="77777777" w:rsidR="00144004" w:rsidRPr="005A7DF0" w:rsidRDefault="00144004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</w:tbl>
    <w:p w14:paraId="7F001565" w14:textId="283CA057" w:rsidR="00585415" w:rsidRPr="00F14D03" w:rsidRDefault="00585415" w:rsidP="00585415">
      <w:pPr>
        <w:spacing w:after="0" w:line="240" w:lineRule="auto"/>
        <w:rPr>
          <w:rFonts w:cs="Tahoma"/>
          <w:sz w:val="10"/>
          <w:szCs w:val="10"/>
        </w:rPr>
      </w:pPr>
    </w:p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single" w:sz="6" w:space="0" w:color="D9D9D9" w:themeColor="background1" w:themeShade="D9"/>
          <w:right w:val="none" w:sz="0" w:space="0" w:color="auto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45"/>
        <w:gridCol w:w="5670"/>
      </w:tblGrid>
      <w:tr w:rsidR="00585415" w14:paraId="7BE55B95" w14:textId="77777777" w:rsidTr="00E2168A">
        <w:trPr>
          <w:trHeight w:val="987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hideMark/>
          </w:tcPr>
          <w:p w14:paraId="6360BAFB" w14:textId="638B5F49" w:rsidR="0086165A" w:rsidRPr="0086165A" w:rsidRDefault="006F523A" w:rsidP="00EF6F35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2A0D92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D3CF4D" wp14:editId="0F2980C1">
                      <wp:simplePos x="0" y="0"/>
                      <wp:positionH relativeFrom="margin">
                        <wp:posOffset>7828914</wp:posOffset>
                      </wp:positionH>
                      <wp:positionV relativeFrom="paragraph">
                        <wp:posOffset>-2783205</wp:posOffset>
                      </wp:positionV>
                      <wp:extent cx="457835" cy="1076325"/>
                      <wp:effectExtent l="0" t="0" r="37465" b="6667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bg1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6AC0FA0A" w14:textId="77777777" w:rsidR="00585415" w:rsidRPr="000F6A07" w:rsidRDefault="00585415" w:rsidP="00585415">
                                  <w:pPr>
                                    <w:pStyle w:val="Headinglevel1"/>
                                    <w:spacing w:before="120" w:after="120"/>
                                    <w:jc w:val="center"/>
                                    <w:rPr>
                                      <w:rFonts w:cs="Tahoma"/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  <w:r w:rsidRPr="000F6A07">
                                    <w:rPr>
                                      <w:rFonts w:cs="Tahoma"/>
                                      <w:b w:val="0"/>
                                      <w:sz w:val="22"/>
                                      <w:szCs w:val="22"/>
                                    </w:rPr>
                                    <w:t>POST-RESULTS SERVICES: REQUEST, CONSENT AND PAYMENT FORM TEMPLATE</w:t>
                                  </w:r>
                                </w:p>
                                <w:p w14:paraId="0845391D" w14:textId="77777777" w:rsidR="00585415" w:rsidRPr="009670CC" w:rsidRDefault="00585415" w:rsidP="00585415">
                                  <w:pPr>
                                    <w:pStyle w:val="Headinglevel1"/>
                                    <w:pBdr>
                                      <w:top w:val="single" w:sz="8" w:space="1" w:color="FF3300"/>
                                      <w:left w:val="single" w:sz="8" w:space="4" w:color="FF3300"/>
                                      <w:bottom w:val="single" w:sz="8" w:space="1" w:color="FF3300"/>
                                      <w:right w:val="single" w:sz="8" w:space="4" w:color="FF3300"/>
                                    </w:pBdr>
                                    <w:spacing w:after="0"/>
                                    <w:jc w:val="center"/>
                                    <w:rPr>
                                      <w:rFonts w:cs="Tahoma"/>
                                      <w:color w:val="FF3300"/>
                                      <w:sz w:val="20"/>
                                      <w:szCs w:val="20"/>
                                    </w:rPr>
                                  </w:pPr>
                                  <w:r w:rsidRPr="009670CC">
                                    <w:rPr>
                                      <w:rFonts w:cs="Tahoma"/>
                                      <w:color w:val="FF3300"/>
                                      <w:sz w:val="20"/>
                                      <w:szCs w:val="20"/>
                                    </w:rPr>
                                    <w:t>Delete this text box when the information contained below is understood</w:t>
                                  </w:r>
                                </w:p>
                                <w:p w14:paraId="62ACBB17" w14:textId="4188E1D5" w:rsidR="00585415" w:rsidRPr="004F179C" w:rsidRDefault="00585415" w:rsidP="00585415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cs="Tahoma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4F179C">
                                    <w:rPr>
                                      <w:rFonts w:cs="Tahoma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This template supports the </w:t>
                                  </w:r>
                                  <w:r w:rsidR="004F179C" w:rsidRPr="004F179C">
                                    <w:rPr>
                                      <w:rFonts w:cs="Tahoma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Summer 2025</w:t>
                                  </w:r>
                                  <w:r w:rsidRPr="004F179C">
                                    <w:rPr>
                                      <w:rFonts w:cs="Tahoma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exam series</w:t>
                                  </w:r>
                                </w:p>
                                <w:p w14:paraId="544050F2" w14:textId="77777777" w:rsidR="00031B05" w:rsidRDefault="00585415" w:rsidP="00031B05">
                                  <w:pPr>
                                    <w:spacing w:after="120" w:line="240" w:lineRule="auto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This template is provided as a good practice example </w:t>
                                  </w:r>
                                  <w:r w:rsidRPr="006F2340">
                                    <w:rPr>
                                      <w:rFonts w:cs="Tahoma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  <w:u w:val="single"/>
                                    </w:rPr>
                                    <w:t>only</w:t>
                                  </w:r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and is designed to support EOs in dealing with requests for </w:t>
                                  </w:r>
                                  <w:proofErr w:type="spellStart"/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RoRs</w:t>
                                  </w:r>
                                  <w:proofErr w:type="spellEnd"/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and ATS in terms of providing candidates (and centre staff) with information about the services available</w:t>
                                  </w:r>
                                  <w:r w:rsidR="002C1796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(for the awarding body qualifications covered by the common arrangements in the </w:t>
                                  </w:r>
                                  <w:r w:rsidR="002C1796"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JCQ </w:t>
                                  </w:r>
                                  <w:hyperlink r:id="rId10" w:history="1">
                                    <w:r w:rsidR="002C1796" w:rsidRPr="006F2340">
                                      <w:rPr>
                                        <w:rStyle w:val="Hyperlink"/>
                                        <w:rFonts w:cs="Tahoma"/>
                                        <w:color w:val="0070C0"/>
                                        <w:sz w:val="20"/>
                                        <w:szCs w:val="20"/>
                                        <w:u w:val="none"/>
                                      </w:rPr>
                                      <w:t>Post-Results Services</w:t>
                                    </w:r>
                                  </w:hyperlink>
                                  <w:r w:rsidR="002C1796"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C1796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document)</w:t>
                                  </w:r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, gaining </w:t>
                                  </w:r>
                                  <w:r w:rsidR="00C07E23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required</w:t>
                                  </w:r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candidate consent and collecting fees (where applicable). </w:t>
                                  </w:r>
                                </w:p>
                                <w:p w14:paraId="5E8A2BF2" w14:textId="426E30C0" w:rsidR="004F179C" w:rsidRDefault="00031B05" w:rsidP="00585415">
                                  <w:pPr>
                                    <w:spacing w:after="120" w:line="240" w:lineRule="auto"/>
                                    <w:rPr>
                                      <w:rStyle w:val="Hyperlink"/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 w:rsidRPr="00183F26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The template should be customised and edited accordingly to reflect the qualifications delivered in an individual centre. </w:t>
                                  </w:r>
                                  <w:r w:rsidR="00585415"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(This template is also designed for use in conjunction with the </w:t>
                                  </w:r>
                                  <w:r w:rsidR="00585415" w:rsidRPr="006F2340">
                                    <w:rPr>
                                      <w:rFonts w:cs="Tahoma"/>
                                      <w:sz w:val="20"/>
                                      <w:szCs w:val="20"/>
                                    </w:rPr>
                                    <w:t>POST-RESULTS SERVICES: DEADLINES, FEES AND CHARGES TEMPLATE</w:t>
                                  </w:r>
                                  <w:r w:rsidR="00585415" w:rsidRPr="006F2340">
                                    <w:rPr>
                                      <w:rStyle w:val="Hyperlink"/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  <w:u w:val="none"/>
                                    </w:rPr>
                                    <w:t>)</w:t>
                                  </w:r>
                                </w:p>
                                <w:p w14:paraId="34CE92AC" w14:textId="311E8104" w:rsidR="005B6AAD" w:rsidRPr="006F2340" w:rsidRDefault="005B6AAD" w:rsidP="005B6AAD">
                                  <w:pPr>
                                    <w:spacing w:before="120" w:after="120" w:line="240" w:lineRule="auto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183F26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If relevant to the qualifications delivered in your centre, you may </w:t>
                                  </w:r>
                                  <w:r w:rsidR="00031B05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also </w:t>
                                  </w:r>
                                  <w:r w:rsidRPr="00183F26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choose to customise this template to make it useful for dealing </w:t>
                                  </w:r>
                                  <w:r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with enquiries about results</w:t>
                                  </w:r>
                                  <w:r w:rsidRPr="00183F26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for </w:t>
                                  </w:r>
                                  <w:r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any awarding body not covered by the JCQ common arrangements.</w:t>
                                  </w:r>
                                </w:p>
                                <w:p w14:paraId="0F43A100" w14:textId="77777777" w:rsidR="00585415" w:rsidRPr="006F2340" w:rsidRDefault="00585415" w:rsidP="00585415">
                                  <w:pPr>
                                    <w:spacing w:after="120" w:line="240" w:lineRule="auto"/>
                                    <w:rPr>
                                      <w:rFonts w:cs="Tahoma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6F2340">
                                    <w:rPr>
                                      <w:rFonts w:cs="Tahoma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Important points to note</w:t>
                                  </w:r>
                                </w:p>
                                <w:p w14:paraId="3084332D" w14:textId="12EC3C32" w:rsidR="00585415" w:rsidRPr="000F0674" w:rsidRDefault="00585415" w:rsidP="000F0674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spacing w:before="120" w:after="0" w:line="240" w:lineRule="auto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Content in this template </w:t>
                                  </w:r>
                                  <w:r w:rsidRPr="006F2340">
                                    <w:rPr>
                                      <w:rFonts w:cs="Tahoma"/>
                                      <w:noProof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on the services available and the deadlines provided </w:t>
                                  </w:r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is taken from the JCQ </w:t>
                                  </w:r>
                                  <w:r w:rsidRPr="00586C0D">
                                    <w:rPr>
                                      <w:rFonts w:cs="Tahoma"/>
                                      <w:sz w:val="20"/>
                                      <w:szCs w:val="20"/>
                                    </w:rPr>
                                    <w:t>Post-Results Services</w:t>
                                  </w:r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C1796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document</w:t>
                                  </w:r>
                                  <w:r w:rsidR="000F0674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F523A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0F0674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In terms of the final deadline for </w:t>
                                  </w:r>
                                  <w:r w:rsidR="000F0674" w:rsidRPr="00F54E65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copies of scripts to support teaching and learning (All qualifications) </w:t>
                                  </w:r>
                                  <w:r w:rsidR="000F0674" w:rsidRPr="00F54E65">
                                    <w:rPr>
                                      <w:rFonts w:cs="Tahoma"/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="000F0674" w:rsidRPr="00F54E6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lease see individual awarding bodies’ websites for further information</w:t>
                                  </w:r>
                                  <w:r w:rsidR="000F0674" w:rsidRPr="00F54E65">
                                    <w:t>)</w:t>
                                  </w:r>
                                </w:p>
                                <w:p w14:paraId="5AAC0556" w14:textId="77777777" w:rsidR="00585415" w:rsidRPr="006F2340" w:rsidRDefault="00585415" w:rsidP="00585415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spacing w:before="120" w:after="0" w:line="240" w:lineRule="auto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 w:rsidRPr="006F2340">
                                    <w:rPr>
                                      <w:rFonts w:cs="Tahoma"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deadlines </w:t>
                                  </w:r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shown are the </w:t>
                                  </w:r>
                                  <w:r w:rsidRPr="006F2340">
                                    <w:rPr>
                                      <w:rFonts w:cs="Tahoma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external</w:t>
                                  </w:r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dates that must be met when submitting </w:t>
                                  </w:r>
                                  <w:proofErr w:type="spellStart"/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RoRs</w:t>
                                  </w:r>
                                  <w:proofErr w:type="spellEnd"/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and ATS requests </w:t>
                                  </w:r>
                                  <w:r w:rsidRPr="006F2340">
                                    <w:rPr>
                                      <w:rFonts w:cs="Tahoma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online</w:t>
                                  </w:r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via JCQ member awarding bodies secure extranet sites. You </w:t>
                                  </w:r>
                                  <w:r w:rsidRPr="006F2340">
                                    <w:rPr>
                                      <w:rFonts w:cs="Tahoma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must</w:t>
                                  </w:r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check that these deadlines are correct with awarding body key dates information</w:t>
                                  </w:r>
                                </w:p>
                                <w:p w14:paraId="3B0A1170" w14:textId="77777777" w:rsidR="00A830B1" w:rsidRPr="006F2340" w:rsidRDefault="00A830B1" w:rsidP="00A830B1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spacing w:after="0" w:line="240" w:lineRule="auto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6F2340">
                                    <w:rPr>
                                      <w:rFonts w:cs="Tahoma"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If using a customised</w:t>
                                  </w:r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version of this document in your centre, you are advised to </w:t>
                                  </w:r>
                                  <w:r w:rsidRPr="006F2340">
                                    <w:rPr>
                                      <w:rFonts w:cs="Tahoma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change</w:t>
                                  </w:r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the external deadlines provided to show your centre’s </w:t>
                                  </w:r>
                                  <w:r w:rsidRPr="006F2340">
                                    <w:rPr>
                                      <w:rFonts w:cs="Tahoma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internal </w:t>
                                  </w:r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deadlines</w:t>
                                  </w:r>
                                </w:p>
                                <w:p w14:paraId="28403AD4" w14:textId="77777777" w:rsidR="004F179C" w:rsidRPr="006F2340" w:rsidRDefault="004F179C" w:rsidP="004F179C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spacing w:after="60" w:line="240" w:lineRule="auto"/>
                                    <w:ind w:left="788"/>
                                    <w:contextualSpacing w:val="0"/>
                                    <w:rPr>
                                      <w:rFonts w:cs="Tahoma"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6F2340">
                                    <w:rPr>
                                      <w:rFonts w:cs="Tahoma"/>
                                      <w:bCs/>
                                      <w:color w:val="FF3300"/>
                                      <w:sz w:val="20"/>
                                      <w:szCs w:val="20"/>
                                    </w:rPr>
                                    <w:t xml:space="preserve">Deadline for requesting copies of scripts to support </w:t>
                                  </w:r>
                                  <w:r w:rsidRPr="006F2340">
                                    <w:rPr>
                                      <w:rFonts w:cs="Tahoma"/>
                                      <w:b/>
                                      <w:bCs/>
                                      <w:color w:val="FF3300"/>
                                      <w:sz w:val="20"/>
                                      <w:szCs w:val="20"/>
                                    </w:rPr>
                                    <w:t>review of marking</w:t>
                                  </w:r>
                                  <w:r w:rsidRPr="006F2340">
                                    <w:rPr>
                                      <w:rFonts w:cs="Tahoma"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: JCQ does not publish a common deadline for this priority service as awarding body access to scripts processes differ</w:t>
                                  </w:r>
                                </w:p>
                                <w:p w14:paraId="431DB1D4" w14:textId="77777777" w:rsidR="004F179C" w:rsidRPr="006F2340" w:rsidRDefault="004F179C" w:rsidP="004F179C">
                                  <w:pPr>
                                    <w:pStyle w:val="ListParagraph"/>
                                    <w:spacing w:after="60" w:line="240" w:lineRule="auto"/>
                                    <w:ind w:left="1440"/>
                                    <w:contextualSpacing w:val="0"/>
                                    <w:rPr>
                                      <w:rFonts w:cs="Tahoma"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6F2340">
                                    <w:rPr>
                                      <w:rFonts w:cs="Tahoma"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Dependent on the awarding body, centres either a) have to request a priority copy of a marked script, or b) are able to access and view/download a copy of a marked script on demand. </w:t>
                                  </w:r>
                                </w:p>
                                <w:p w14:paraId="653BF18C" w14:textId="65DFED64" w:rsidR="004F179C" w:rsidRPr="006F2340" w:rsidRDefault="004F179C" w:rsidP="004F179C">
                                  <w:pPr>
                                    <w:pStyle w:val="ListParagraph"/>
                                    <w:spacing w:after="60" w:line="240" w:lineRule="auto"/>
                                    <w:ind w:left="1440"/>
                                    <w:contextualSpacing w:val="0"/>
                                    <w:rPr>
                                      <w:rFonts w:cs="Tahoma"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6F2340">
                                    <w:rPr>
                                      <w:rFonts w:cs="Tahoma"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Check with the relevant awarding body for any published deadline(s); as example, see AQA request deadline</w:t>
                                  </w:r>
                                  <w:r w:rsidR="006F2340" w:rsidRPr="006F2340">
                                    <w:rPr>
                                      <w:rFonts w:cs="Tahoma"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F2340">
                                    <w:rPr>
                                      <w:rFonts w:cs="Tahoma"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dates </w:t>
                                  </w:r>
                                  <w:hyperlink r:id="rId11" w:history="1">
                                    <w:r w:rsidRPr="006F2340">
                                      <w:rPr>
                                        <w:rStyle w:val="Hyperlink"/>
                                        <w:rFonts w:cs="Tahoma"/>
                                        <w:bCs/>
                                        <w:color w:val="0070C0"/>
                                        <w:sz w:val="20"/>
                                        <w:szCs w:val="20"/>
                                        <w:u w:val="none"/>
                                      </w:rPr>
                                      <w:t>here</w:t>
                                    </w:r>
                                  </w:hyperlink>
                                  <w:r w:rsidRPr="006F2340">
                                    <w:rPr>
                                      <w:rFonts w:cs="Tahoma"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5F1DA843" w14:textId="4A8A1A3B" w:rsidR="00586C0D" w:rsidRPr="00586C0D" w:rsidRDefault="00586C0D" w:rsidP="00586C0D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spacing w:after="60" w:line="240" w:lineRule="auto"/>
                                    <w:ind w:left="782" w:hanging="357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390EA3">
                                    <w:rPr>
                                      <w:rFonts w:cs="Tahoma"/>
                                      <w:b/>
                                      <w:bCs/>
                                      <w:color w:val="FF3300"/>
                                      <w:sz w:val="20"/>
                                      <w:szCs w:val="20"/>
                                    </w:rPr>
                                    <w:t>Candidate consent</w:t>
                                  </w:r>
                                  <w:r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: (</w:t>
                                  </w:r>
                                  <w:r w:rsidR="0086165A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Quoted directly</w:t>
                                  </w:r>
                                  <w:r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from sections 4.2.1 </w:t>
                                  </w:r>
                                  <w:r w:rsidR="0086165A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and 6.2.1 of the </w:t>
                                  </w:r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JCQ </w:t>
                                  </w:r>
                                  <w:hyperlink r:id="rId12" w:history="1">
                                    <w:r w:rsidRPr="006F2340">
                                      <w:rPr>
                                        <w:rStyle w:val="Hyperlink"/>
                                        <w:rFonts w:cs="Tahoma"/>
                                        <w:color w:val="0070C0"/>
                                        <w:sz w:val="20"/>
                                        <w:szCs w:val="20"/>
                                        <w:u w:val="none"/>
                                      </w:rPr>
                                      <w:t>Post-Results Services</w:t>
                                    </w:r>
                                  </w:hyperlink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document)</w:t>
                                  </w:r>
                                  <w:r w:rsidR="0086165A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86C0D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Candidate consent</w:t>
                                  </w:r>
                                  <w:r w:rsidRPr="00586C0D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  <w:vertAlign w:val="superscript"/>
                                    </w:rPr>
                                    <w:t>1</w:t>
                                  </w:r>
                                  <w:r w:rsidRPr="00586C0D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for clerical re-checks and reviews of marking must be obtained </w:t>
                                  </w:r>
                                  <w:r w:rsidRPr="00586C0D">
                                    <w:rPr>
                                      <w:rFonts w:cs="Tahoma"/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after</w:t>
                                  </w:r>
                                  <w:r w:rsidRPr="00586C0D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the publication of results / </w:t>
                                  </w:r>
                                  <w:r w:rsidRPr="00586C0D">
                                    <w:rPr>
                                      <w:rFonts w:eastAsia="Times New Roman" w:cs="Tahoma"/>
                                      <w:sz w:val="20"/>
                                      <w:szCs w:val="20"/>
                                    </w:rPr>
                                    <w:t>Prior written permission</w:t>
                                  </w:r>
                                  <w:r w:rsidRPr="00586C0D">
                                    <w:rPr>
                                      <w:rFonts w:cs="Tahom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 w:rsidRPr="00586C0D">
                                    <w:rPr>
                                      <w:rFonts w:eastAsia="Times New Roman" w:cs="Tahoma"/>
                                      <w:sz w:val="20"/>
                                      <w:szCs w:val="20"/>
                                    </w:rPr>
                                    <w:t xml:space="preserve"> must be obtained from any candidate where the centre intends to request their script(s) </w:t>
                                  </w:r>
                                </w:p>
                                <w:p w14:paraId="338A7797" w14:textId="77777777" w:rsidR="00B57544" w:rsidRDefault="00586C0D" w:rsidP="00B57544">
                                  <w:pPr>
                                    <w:pStyle w:val="NormalWeb"/>
                                    <w:spacing w:before="0" w:beforeAutospacing="0" w:after="60" w:afterAutospacing="0"/>
                                    <w:ind w:left="851" w:hanging="63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586C0D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1</w:t>
                                  </w:r>
                                  <w:r w:rsidR="002C1796" w:rsidRPr="00586C0D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Candidates must be informed that their marks and subject grades could go down as well as up and must provide their written consent before a request is submitted.</w:t>
                                  </w:r>
                                  <w:r w:rsidRPr="00586C0D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2BF1A556" w14:textId="6389ABA3" w:rsidR="002C1796" w:rsidRPr="0086165A" w:rsidRDefault="00586C0D" w:rsidP="00B57544">
                                  <w:pPr>
                                    <w:pStyle w:val="NormalWeb"/>
                                    <w:spacing w:before="0" w:beforeAutospacing="0" w:after="60" w:afterAutospacing="0"/>
                                    <w:ind w:left="851" w:hanging="63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586C0D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</w:t>
                                  </w:r>
                                  <w:r w:rsidRPr="002C1796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This permission must only be sought </w:t>
                                  </w:r>
                                  <w:r w:rsidRPr="002C1796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after</w:t>
                                  </w:r>
                                  <w:r w:rsidRPr="002C1796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 the candidates have received their results for the respective examination series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2C1796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Candidates who grant their permission have the right to anonymity of their scripts before use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2C1796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1EAC549" w14:textId="060926A3" w:rsidR="00585415" w:rsidRPr="00C07E23" w:rsidRDefault="00B57544" w:rsidP="00C07E23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7E23">
                                    <w:rPr>
                                      <w:sz w:val="20"/>
                                      <w:szCs w:val="20"/>
                                    </w:rPr>
                                    <w:t>(Clerical re-checks, reviews of marking and appeals</w:t>
                                  </w:r>
                                  <w:r w:rsidR="00C07E23" w:rsidRPr="00C07E23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C07E23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85415" w:rsidRPr="00C07E23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Evidence of candidate consent should be kept on file for at least six months following the outcome of a </w:t>
                                  </w:r>
                                  <w:r w:rsidR="00585415" w:rsidRPr="00C07E23">
                                    <w:rPr>
                                      <w:rFonts w:cs="Tahoma"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clerical re-check or a review of marking</w:t>
                                  </w:r>
                                  <w:r w:rsidR="00585415" w:rsidRPr="00C07E23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or any subsequent appeal</w:t>
                                  </w:r>
                                </w:p>
                                <w:p w14:paraId="169F4196" w14:textId="430B5A04" w:rsidR="00585415" w:rsidRPr="006F2340" w:rsidRDefault="00C07E23" w:rsidP="00585415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spacing w:after="120" w:line="240" w:lineRule="auto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(Access to Scripts) </w:t>
                                  </w:r>
                                  <w:r w:rsidR="00585415"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Evidence of candidate consent should be kept on file for at least six months</w:t>
                                  </w:r>
                                </w:p>
                                <w:p w14:paraId="76A3D694" w14:textId="77777777" w:rsidR="00585415" w:rsidRPr="006F2340" w:rsidRDefault="00585415" w:rsidP="00585415">
                                  <w:pPr>
                                    <w:spacing w:after="0" w:line="240" w:lineRule="auto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6F2340">
                                    <w:rPr>
                                      <w:rFonts w:cs="Tahoma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Customise </w:t>
                                  </w:r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this good practice template for use in your centre by:</w:t>
                                  </w:r>
                                </w:p>
                                <w:p w14:paraId="066BE9B9" w14:textId="77777777" w:rsidR="00585415" w:rsidRPr="006F2340" w:rsidRDefault="00585415" w:rsidP="00585415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spacing w:after="120" w:line="240" w:lineRule="auto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deleting information that is not relevant</w:t>
                                  </w:r>
                                </w:p>
                                <w:p w14:paraId="74F21EB8" w14:textId="77777777" w:rsidR="00585415" w:rsidRPr="006F2340" w:rsidRDefault="00585415" w:rsidP="00585415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spacing w:after="120" w:line="240" w:lineRule="auto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6F2340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amending/adding information that may not be included here that is relevant </w:t>
                                  </w:r>
                                </w:p>
                                <w:p w14:paraId="3A253A9E" w14:textId="7A02815F" w:rsidR="006F2340" w:rsidRPr="006F2340" w:rsidRDefault="006F2340" w:rsidP="006F2340">
                                  <w:pPr>
                                    <w:spacing w:after="240" w:line="240" w:lineRule="auto"/>
                                    <w:rPr>
                                      <w:rFonts w:cs="Tahoma"/>
                                      <w:color w:val="FF3300"/>
                                      <w:sz w:val="20"/>
                                      <w:szCs w:val="20"/>
                                    </w:rPr>
                                  </w:pPr>
                                  <w:r w:rsidRPr="006F2340">
                                    <w:rPr>
                                      <w:rFonts w:cs="Tahoma"/>
                                      <w:b/>
                                      <w:bCs/>
                                      <w:color w:val="FF3300"/>
                                      <w:sz w:val="20"/>
                                      <w:szCs w:val="20"/>
                                    </w:rPr>
                                    <w:t>Alternatively</w:t>
                                  </w:r>
                                  <w:r w:rsidRPr="006F2340">
                                    <w:rPr>
                                      <w:rFonts w:cs="Tahoma"/>
                                      <w:color w:val="FF3300"/>
                                      <w:sz w:val="20"/>
                                      <w:szCs w:val="20"/>
                                    </w:rPr>
                                    <w:t xml:space="preserve">, use relevant content from this template to inform the creation of an electronic </w:t>
                                  </w:r>
                                  <w:r>
                                    <w:rPr>
                                      <w:rFonts w:cs="Tahoma"/>
                                      <w:color w:val="FF3300"/>
                                      <w:sz w:val="20"/>
                                      <w:szCs w:val="20"/>
                                    </w:rPr>
                                    <w:t>form</w:t>
                                  </w:r>
                                  <w:r w:rsidRPr="006F2340">
                                    <w:rPr>
                                      <w:rFonts w:cs="Tahoma"/>
                                      <w:color w:val="FF3300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14:paraId="079161BF" w14:textId="77777777" w:rsidR="00585415" w:rsidRPr="00401A29" w:rsidRDefault="00585415" w:rsidP="00585415">
                                  <w:pPr>
                                    <w:spacing w:before="120" w:after="120" w:line="240" w:lineRule="auto"/>
                                    <w:rPr>
                                      <w:rFonts w:cs="Tahoma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D3CF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616.45pt;margin-top:-219.15pt;width:36.0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" fillcolor="#f2f2f2 [3052]" strokecolor="#039" strokeweight="1.5pt">
                      <v:shadow on="t" color="white [3212]" opacity=".5" offset="1pt"/>
                      <v:textbox>
                        <w:txbxContent>
                          <w:p w14:paraId="6AC0FA0A" w14:textId="77777777" w:rsidR="00585415" w:rsidRPr="000F6A07" w:rsidRDefault="00585415" w:rsidP="00585415">
                            <w:pPr>
                              <w:pStyle w:val="Headinglevel1"/>
                              <w:spacing w:before="120" w:after="120"/>
                              <w:jc w:val="center"/>
                              <w:rPr>
                                <w:rFonts w:cs="Tahoma"/>
                                <w:b w:val="0"/>
                                <w:sz w:val="22"/>
                                <w:szCs w:val="22"/>
                              </w:rPr>
                            </w:pPr>
                            <w:r w:rsidRPr="000F6A07">
                              <w:rPr>
                                <w:rFonts w:cs="Tahoma"/>
                                <w:b w:val="0"/>
                                <w:sz w:val="22"/>
                                <w:szCs w:val="22"/>
                              </w:rPr>
                              <w:t>POST-RESULTS SERVICES: REQUEST, CONSENT AND PAYMENT FORM TEMPLATE</w:t>
                            </w:r>
                          </w:p>
                          <w:p w14:paraId="0845391D" w14:textId="77777777" w:rsidR="00585415" w:rsidRPr="009670CC" w:rsidRDefault="00585415" w:rsidP="00585415">
                            <w:pPr>
                              <w:pStyle w:val="Headinglevel1"/>
                              <w:pBdr>
                                <w:top w:val="single" w:sz="8" w:space="1" w:color="FF3300"/>
                                <w:left w:val="single" w:sz="8" w:space="4" w:color="FF3300"/>
                                <w:bottom w:val="single" w:sz="8" w:space="1" w:color="FF3300"/>
                                <w:right w:val="single" w:sz="8" w:space="4" w:color="FF3300"/>
                              </w:pBdr>
                              <w:spacing w:after="0"/>
                              <w:jc w:val="center"/>
                              <w:rPr>
                                <w:rFonts w:cs="Tahoma"/>
                                <w:color w:val="FF3300"/>
                                <w:sz w:val="20"/>
                                <w:szCs w:val="20"/>
                              </w:rPr>
                            </w:pPr>
                            <w:r w:rsidRPr="009670CC">
                              <w:rPr>
                                <w:rFonts w:cs="Tahoma"/>
                                <w:color w:val="FF3300"/>
                                <w:sz w:val="20"/>
                                <w:szCs w:val="20"/>
                              </w:rPr>
                              <w:t>Delete this text box when the information contained below is understood</w:t>
                            </w:r>
                          </w:p>
                          <w:p w14:paraId="62ACBB17" w14:textId="4188E1D5" w:rsidR="00585415" w:rsidRPr="004F179C" w:rsidRDefault="00585415" w:rsidP="00585415">
                            <w:pPr>
                              <w:spacing w:before="120" w:after="120" w:line="240" w:lineRule="auto"/>
                              <w:jc w:val="center"/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4F179C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This template supports the </w:t>
                            </w:r>
                            <w:r w:rsidR="004F179C" w:rsidRPr="004F179C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Summer 2025</w:t>
                            </w:r>
                            <w:r w:rsidRPr="004F179C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exam series</w:t>
                            </w:r>
                          </w:p>
                          <w:p w14:paraId="544050F2" w14:textId="77777777" w:rsidR="00031B05" w:rsidRDefault="00585415" w:rsidP="00031B05">
                            <w:pPr>
                              <w:spacing w:after="120" w:line="240" w:lineRule="auto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This template is provided as a good practice example </w:t>
                            </w:r>
                            <w:r w:rsidRPr="006F2340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  <w:u w:val="single"/>
                              </w:rPr>
                              <w:t>only</w:t>
                            </w:r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and is designed to support EOs in dealing with requests for </w:t>
                            </w:r>
                            <w:proofErr w:type="spellStart"/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RoRs</w:t>
                            </w:r>
                            <w:proofErr w:type="spellEnd"/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and ATS in terms of providing candidates (and centre staff) with information about the services available</w:t>
                            </w:r>
                            <w:r w:rsidR="002C179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(for the awarding body qualifications covered by the common arrangements in the </w:t>
                            </w:r>
                            <w:r w:rsidR="002C1796"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JCQ </w:t>
                            </w:r>
                            <w:hyperlink r:id="rId13" w:history="1">
                              <w:r w:rsidR="002C1796" w:rsidRPr="006F2340">
                                <w:rPr>
                                  <w:rStyle w:val="Hyperlink"/>
                                  <w:rFonts w:cs="Tahoma"/>
                                  <w:color w:val="0070C0"/>
                                  <w:sz w:val="20"/>
                                  <w:szCs w:val="20"/>
                                  <w:u w:val="none"/>
                                </w:rPr>
                                <w:t>Post-Results Services</w:t>
                              </w:r>
                            </w:hyperlink>
                            <w:r w:rsidR="002C1796"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179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document)</w:t>
                            </w:r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, gaining </w:t>
                            </w:r>
                            <w:r w:rsidR="00C07E23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required</w:t>
                            </w:r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candidate consent and collecting fees (where applicable). </w:t>
                            </w:r>
                          </w:p>
                          <w:p w14:paraId="5E8A2BF2" w14:textId="426E30C0" w:rsidR="004F179C" w:rsidRDefault="00031B05" w:rsidP="00585415">
                            <w:pPr>
                              <w:spacing w:after="120" w:line="240" w:lineRule="auto"/>
                              <w:rPr>
                                <w:rStyle w:val="Hyperlink"/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183F2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The template should be customised and edited accordingly to reflect the qualifications delivered in an individual centre. </w:t>
                            </w:r>
                            <w:r w:rsidR="00585415"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(This template is also designed for use in conjunction with the </w:t>
                            </w:r>
                            <w:r w:rsidR="00585415" w:rsidRPr="006F2340">
                              <w:rPr>
                                <w:rFonts w:cs="Tahoma"/>
                                <w:sz w:val="20"/>
                                <w:szCs w:val="20"/>
                              </w:rPr>
                              <w:t>POST-RESULTS SERVICES: DEADLINES, FEES AND CHARGES TEMPLATE</w:t>
                            </w:r>
                            <w:r w:rsidR="00585415" w:rsidRPr="006F2340">
                              <w:rPr>
                                <w:rStyle w:val="Hyperlink"/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  <w:u w:val="none"/>
                              </w:rPr>
                              <w:t>)</w:t>
                            </w:r>
                          </w:p>
                          <w:p w14:paraId="34CE92AC" w14:textId="311E8104" w:rsidR="005B6AAD" w:rsidRPr="006F2340" w:rsidRDefault="005B6AAD" w:rsidP="005B6AAD">
                            <w:pPr>
                              <w:spacing w:before="120" w:after="120" w:line="240" w:lineRule="auto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83F2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If relevant to the qualifications delivered in your centre, you may </w:t>
                            </w:r>
                            <w:r w:rsidR="00031B05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also </w:t>
                            </w:r>
                            <w:r w:rsidRPr="00183F2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choose to customise this template to make it useful for dealing 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with enquiries about results</w:t>
                            </w:r>
                            <w:r w:rsidRPr="00183F2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any awarding body not covered by the JCQ common arrangements.</w:t>
                            </w:r>
                          </w:p>
                          <w:p w14:paraId="0F43A100" w14:textId="77777777" w:rsidR="00585415" w:rsidRPr="006F2340" w:rsidRDefault="00585415" w:rsidP="00585415">
                            <w:pPr>
                              <w:spacing w:after="120" w:line="240" w:lineRule="auto"/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6F2340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Important points to note</w:t>
                            </w:r>
                          </w:p>
                          <w:p w14:paraId="3084332D" w14:textId="12EC3C32" w:rsidR="00585415" w:rsidRPr="000F0674" w:rsidRDefault="00585415" w:rsidP="000F067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120" w:after="0" w:line="240" w:lineRule="auto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Content in this template </w:t>
                            </w:r>
                            <w:r w:rsidRPr="006F2340">
                              <w:rPr>
                                <w:rFonts w:cs="Tahoma"/>
                                <w:noProof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on the services available and the deadlines provided </w:t>
                            </w:r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is taken from the JCQ </w:t>
                            </w:r>
                            <w:r w:rsidRPr="00586C0D">
                              <w:rPr>
                                <w:rFonts w:cs="Tahoma"/>
                                <w:sz w:val="20"/>
                                <w:szCs w:val="20"/>
                              </w:rPr>
                              <w:t>Post-Results Services</w:t>
                            </w:r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179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document</w:t>
                            </w:r>
                            <w:r w:rsidR="000F0674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523A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(</w:t>
                            </w:r>
                            <w:r w:rsidR="000F0674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In terms of the final deadline for </w:t>
                            </w:r>
                            <w:r w:rsidR="000F0674" w:rsidRPr="00F54E65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copies of scripts to support teaching and learning (All qualifications) </w:t>
                            </w:r>
                            <w:r w:rsidR="000F0674" w:rsidRPr="00F54E65"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p</w:t>
                            </w:r>
                            <w:r w:rsidR="000F0674" w:rsidRPr="00F54E6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lease see individual awarding bodies’ websites for further information</w:t>
                            </w:r>
                            <w:r w:rsidR="000F0674" w:rsidRPr="00F54E65">
                              <w:t>)</w:t>
                            </w:r>
                          </w:p>
                          <w:p w14:paraId="5AAC0556" w14:textId="77777777" w:rsidR="00585415" w:rsidRPr="006F2340" w:rsidRDefault="00585415" w:rsidP="0058541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120" w:after="0" w:line="240" w:lineRule="auto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6F2340"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deadlines </w:t>
                            </w:r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shown are the </w:t>
                            </w:r>
                            <w:r w:rsidRPr="006F2340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external</w:t>
                            </w:r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dates that must be met when submitting </w:t>
                            </w:r>
                            <w:proofErr w:type="spellStart"/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RoRs</w:t>
                            </w:r>
                            <w:proofErr w:type="spellEnd"/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and ATS requests </w:t>
                            </w:r>
                            <w:r w:rsidRPr="006F2340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online</w:t>
                            </w:r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via JCQ member awarding bodies secure extranet sites. You </w:t>
                            </w:r>
                            <w:r w:rsidRPr="006F2340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must</w:t>
                            </w:r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check that these deadlines are correct with awarding body key dates information</w:t>
                            </w:r>
                          </w:p>
                          <w:p w14:paraId="3B0A1170" w14:textId="77777777" w:rsidR="00A830B1" w:rsidRPr="006F2340" w:rsidRDefault="00A830B1" w:rsidP="00A830B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6F2340"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If using a customised</w:t>
                            </w:r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version of this document in your centre, you are advised to </w:t>
                            </w:r>
                            <w:r w:rsidRPr="006F2340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change</w:t>
                            </w:r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the external deadlines provided to show your centre’s </w:t>
                            </w:r>
                            <w:r w:rsidRPr="006F2340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internal </w:t>
                            </w:r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deadlines</w:t>
                            </w:r>
                          </w:p>
                          <w:p w14:paraId="28403AD4" w14:textId="77777777" w:rsidR="004F179C" w:rsidRPr="006F2340" w:rsidRDefault="004F179C" w:rsidP="004F179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88"/>
                              <w:contextualSpacing w:val="0"/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6F2340">
                              <w:rPr>
                                <w:rFonts w:cs="Tahoma"/>
                                <w:bCs/>
                                <w:color w:val="FF3300"/>
                                <w:sz w:val="20"/>
                                <w:szCs w:val="20"/>
                              </w:rPr>
                              <w:t xml:space="preserve">Deadline for requesting copies of scripts to support </w:t>
                            </w:r>
                            <w:r w:rsidRPr="006F2340">
                              <w:rPr>
                                <w:rFonts w:cs="Tahoma"/>
                                <w:b/>
                                <w:bCs/>
                                <w:color w:val="FF3300"/>
                                <w:sz w:val="20"/>
                                <w:szCs w:val="20"/>
                              </w:rPr>
                              <w:t>review of marking</w:t>
                            </w:r>
                            <w:r w:rsidRPr="006F2340"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: JCQ does not publish a common deadline for this priority service as awarding body access to scripts processes differ</w:t>
                            </w:r>
                          </w:p>
                          <w:p w14:paraId="431DB1D4" w14:textId="77777777" w:rsidR="004F179C" w:rsidRPr="006F2340" w:rsidRDefault="004F179C" w:rsidP="004F179C">
                            <w:pPr>
                              <w:pStyle w:val="ListParagraph"/>
                              <w:spacing w:after="60" w:line="240" w:lineRule="auto"/>
                              <w:ind w:left="1440"/>
                              <w:contextualSpacing w:val="0"/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6F2340"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Dependent on the awarding body, centres either a) have to request a priority copy of a marked script, or b) are able to access and view/download a copy of a marked script on demand. </w:t>
                            </w:r>
                          </w:p>
                          <w:p w14:paraId="653BF18C" w14:textId="65DFED64" w:rsidR="004F179C" w:rsidRPr="006F2340" w:rsidRDefault="004F179C" w:rsidP="004F179C">
                            <w:pPr>
                              <w:pStyle w:val="ListParagraph"/>
                              <w:spacing w:after="60" w:line="240" w:lineRule="auto"/>
                              <w:ind w:left="1440"/>
                              <w:contextualSpacing w:val="0"/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6F2340"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Check with the relevant awarding body for any published deadline(s); as example, see AQA request deadline</w:t>
                            </w:r>
                            <w:r w:rsidR="006F2340" w:rsidRPr="006F2340"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2340"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dates </w:t>
                            </w:r>
                            <w:hyperlink r:id="rId14" w:history="1">
                              <w:r w:rsidRPr="006F2340">
                                <w:rPr>
                                  <w:rStyle w:val="Hyperlink"/>
                                  <w:rFonts w:cs="Tahoma"/>
                                  <w:bCs/>
                                  <w:color w:val="0070C0"/>
                                  <w:sz w:val="20"/>
                                  <w:szCs w:val="20"/>
                                  <w:u w:val="none"/>
                                </w:rPr>
                                <w:t>here</w:t>
                              </w:r>
                            </w:hyperlink>
                            <w:r w:rsidRPr="006F2340"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F1DA843" w14:textId="4A8A1A3B" w:rsidR="00586C0D" w:rsidRPr="00586C0D" w:rsidRDefault="00586C0D" w:rsidP="00586C0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82" w:hanging="357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390EA3">
                              <w:rPr>
                                <w:rFonts w:cs="Tahoma"/>
                                <w:b/>
                                <w:bCs/>
                                <w:color w:val="FF3300"/>
                                <w:sz w:val="20"/>
                                <w:szCs w:val="20"/>
                              </w:rPr>
                              <w:t>Candidate consent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: (</w:t>
                            </w:r>
                            <w:r w:rsidR="0086165A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Quoted directly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from sections 4.2.1 </w:t>
                            </w:r>
                            <w:r w:rsidR="0086165A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and 6.2.1 of the </w:t>
                            </w:r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JCQ </w:t>
                            </w:r>
                            <w:hyperlink r:id="rId15" w:history="1">
                              <w:r w:rsidRPr="006F2340">
                                <w:rPr>
                                  <w:rStyle w:val="Hyperlink"/>
                                  <w:rFonts w:cs="Tahoma"/>
                                  <w:color w:val="0070C0"/>
                                  <w:sz w:val="20"/>
                                  <w:szCs w:val="20"/>
                                  <w:u w:val="none"/>
                                </w:rPr>
                                <w:t>Post-Results Services</w:t>
                              </w:r>
                            </w:hyperlink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document)</w:t>
                            </w:r>
                            <w:r w:rsidR="0086165A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6C0D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Candidate consent</w:t>
                            </w:r>
                            <w:r w:rsidRPr="00586C0D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586C0D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for clerical re-checks and reviews of marking must be obtained </w:t>
                            </w:r>
                            <w:r w:rsidRPr="00586C0D"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after</w:t>
                            </w:r>
                            <w:r w:rsidRPr="00586C0D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the publication of results / </w:t>
                            </w:r>
                            <w:r w:rsidRPr="00586C0D">
                              <w:rPr>
                                <w:rFonts w:eastAsia="Times New Roman" w:cs="Tahoma"/>
                                <w:sz w:val="20"/>
                                <w:szCs w:val="20"/>
                              </w:rPr>
                              <w:t>Prior written permission</w:t>
                            </w:r>
                            <w:r w:rsidRPr="00586C0D">
                              <w:rPr>
                                <w:rFonts w:cs="Tahom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586C0D">
                              <w:rPr>
                                <w:rFonts w:eastAsia="Times New Roman" w:cs="Tahoma"/>
                                <w:sz w:val="20"/>
                                <w:szCs w:val="20"/>
                              </w:rPr>
                              <w:t xml:space="preserve"> must be obtained from any candidate where the centre intends to request their script(s) </w:t>
                            </w:r>
                          </w:p>
                          <w:p w14:paraId="338A7797" w14:textId="77777777" w:rsidR="00B57544" w:rsidRDefault="00586C0D" w:rsidP="00B57544">
                            <w:pPr>
                              <w:pStyle w:val="NormalWeb"/>
                              <w:spacing w:before="0" w:beforeAutospacing="0" w:after="60" w:afterAutospacing="0"/>
                              <w:ind w:left="851" w:hanging="63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586C0D">
                              <w:rPr>
                                <w:rFonts w:ascii="Tahoma" w:hAnsi="Tahoma" w:cs="Tahoma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="002C1796" w:rsidRPr="00586C0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Candidates must be informed that their marks and subject grades could go down as well as up and must provide their written consent before a request is submitted.</w:t>
                            </w:r>
                            <w:r w:rsidRPr="00586C0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BF1A556" w14:textId="6389ABA3" w:rsidR="002C1796" w:rsidRPr="0086165A" w:rsidRDefault="00586C0D" w:rsidP="00B57544">
                            <w:pPr>
                              <w:pStyle w:val="NormalWeb"/>
                              <w:spacing w:before="0" w:beforeAutospacing="0" w:after="60" w:afterAutospacing="0"/>
                              <w:ind w:left="851" w:hanging="63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586C0D">
                              <w:rPr>
                                <w:rFonts w:ascii="Tahoma" w:hAnsi="Tahoma" w:cs="Tahoma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Pr="002C179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This permission must only be sought </w:t>
                            </w:r>
                            <w:r w:rsidRPr="002C1796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after</w:t>
                            </w:r>
                            <w:r w:rsidRPr="002C179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the candidates have received their results for the respective examination series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2C179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Candidates who grant their permission have the right to anonymity of their scripts before use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  <w:r w:rsidRPr="002C179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1EAC549" w14:textId="060926A3" w:rsidR="00585415" w:rsidRPr="00C07E23" w:rsidRDefault="00B57544" w:rsidP="00C07E2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07E23">
                              <w:rPr>
                                <w:sz w:val="20"/>
                                <w:szCs w:val="20"/>
                              </w:rPr>
                              <w:t>(Clerical re-checks, reviews of marking and appeals</w:t>
                            </w:r>
                            <w:r w:rsidR="00C07E23" w:rsidRPr="00C07E2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C07E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5415" w:rsidRPr="00C07E23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Evidence of candidate consent should be kept on file for at least six months following the outcome of a </w:t>
                            </w:r>
                            <w:r w:rsidR="00585415" w:rsidRPr="00C07E23"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clerical re-check or a review of marking</w:t>
                            </w:r>
                            <w:r w:rsidR="00585415" w:rsidRPr="00C07E23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or any subsequent appeal</w:t>
                            </w:r>
                          </w:p>
                          <w:p w14:paraId="169F4196" w14:textId="430B5A04" w:rsidR="00585415" w:rsidRPr="006F2340" w:rsidRDefault="00C07E23" w:rsidP="0058541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120" w:line="240" w:lineRule="auto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(Access to Scripts) </w:t>
                            </w:r>
                            <w:r w:rsidR="00585415"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Evidence of candidate consent should be kept on file for at least six months</w:t>
                            </w:r>
                          </w:p>
                          <w:p w14:paraId="76A3D694" w14:textId="77777777" w:rsidR="00585415" w:rsidRPr="006F2340" w:rsidRDefault="00585415" w:rsidP="00585415">
                            <w:pPr>
                              <w:spacing w:after="0" w:line="240" w:lineRule="auto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6F2340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Customise </w:t>
                            </w:r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this good practice template for use in your centre by:</w:t>
                            </w:r>
                          </w:p>
                          <w:p w14:paraId="066BE9B9" w14:textId="77777777" w:rsidR="00585415" w:rsidRPr="006F2340" w:rsidRDefault="00585415" w:rsidP="0058541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 w:line="240" w:lineRule="auto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deleting information that is not relevant</w:t>
                            </w:r>
                          </w:p>
                          <w:p w14:paraId="74F21EB8" w14:textId="77777777" w:rsidR="00585415" w:rsidRPr="006F2340" w:rsidRDefault="00585415" w:rsidP="0058541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 w:line="240" w:lineRule="auto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amending/adding information that may not be included here that is relevant </w:t>
                            </w:r>
                          </w:p>
                          <w:p w14:paraId="3A253A9E" w14:textId="7A02815F" w:rsidR="006F2340" w:rsidRPr="006F2340" w:rsidRDefault="006F2340" w:rsidP="006F2340">
                            <w:pPr>
                              <w:spacing w:after="240" w:line="240" w:lineRule="auto"/>
                              <w:rPr>
                                <w:rFonts w:cs="Tahoma"/>
                                <w:color w:val="FF3300"/>
                                <w:sz w:val="20"/>
                                <w:szCs w:val="20"/>
                              </w:rPr>
                            </w:pPr>
                            <w:r w:rsidRPr="006F2340">
                              <w:rPr>
                                <w:rFonts w:cs="Tahoma"/>
                                <w:b/>
                                <w:bCs/>
                                <w:color w:val="FF3300"/>
                                <w:sz w:val="20"/>
                                <w:szCs w:val="20"/>
                              </w:rPr>
                              <w:t>Alternatively</w:t>
                            </w:r>
                            <w:r w:rsidRPr="006F2340">
                              <w:rPr>
                                <w:rFonts w:cs="Tahoma"/>
                                <w:color w:val="FF3300"/>
                                <w:sz w:val="20"/>
                                <w:szCs w:val="20"/>
                              </w:rPr>
                              <w:t xml:space="preserve">, use relevant content from this template to inform the creation of an electronic </w:t>
                            </w:r>
                            <w:r>
                              <w:rPr>
                                <w:rFonts w:cs="Tahoma"/>
                                <w:color w:val="FF3300"/>
                                <w:sz w:val="20"/>
                                <w:szCs w:val="20"/>
                              </w:rPr>
                              <w:t>form</w:t>
                            </w:r>
                            <w:r w:rsidRPr="006F2340">
                              <w:rPr>
                                <w:rFonts w:cs="Tahoma"/>
                                <w:color w:val="FF33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79161BF" w14:textId="77777777" w:rsidR="00585415" w:rsidRPr="00401A29" w:rsidRDefault="00585415" w:rsidP="00585415">
                            <w:pPr>
                              <w:spacing w:before="120" w:after="120" w:line="240" w:lineRule="auto"/>
                              <w:rPr>
                                <w:rFonts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6165A" w:rsidRPr="0086165A">
              <w:rPr>
                <w:b/>
                <w:bCs/>
                <w:sz w:val="18"/>
                <w:szCs w:val="18"/>
              </w:rPr>
              <w:t xml:space="preserve">Clerical re-checks, reviews of marking and appeals </w:t>
            </w:r>
          </w:p>
          <w:p w14:paraId="4141B1D6" w14:textId="5E4FCDB8" w:rsidR="00585415" w:rsidRPr="004F179C" w:rsidRDefault="00585415" w:rsidP="000F0674">
            <w:pPr>
              <w:pStyle w:val="Headinglevel1"/>
              <w:spacing w:before="40" w:after="0"/>
              <w:rPr>
                <w:color w:val="auto"/>
                <w:sz w:val="20"/>
                <w:szCs w:val="20"/>
              </w:rPr>
            </w:pPr>
            <w:r w:rsidRPr="004F179C">
              <w:rPr>
                <w:color w:val="auto"/>
                <w:sz w:val="20"/>
                <w:szCs w:val="20"/>
              </w:rPr>
              <w:t>Candidate consent</w:t>
            </w:r>
          </w:p>
          <w:p w14:paraId="1050392F" w14:textId="5804728A" w:rsidR="00585415" w:rsidRPr="00144004" w:rsidRDefault="00585415" w:rsidP="000F0674">
            <w:pPr>
              <w:pStyle w:val="NormalWeb"/>
              <w:shd w:val="clear" w:color="auto" w:fill="FFFFFF"/>
              <w:spacing w:before="40" w:beforeAutospacing="0" w:after="0" w:afterAutospacing="0"/>
              <w:rPr>
                <w:b/>
              </w:rPr>
            </w:pPr>
            <w:r w:rsidRPr="00E2168A">
              <w:rPr>
                <w:rFonts w:ascii="Tahoma" w:hAnsi="Tahoma" w:cs="Tahoma"/>
                <w:sz w:val="18"/>
                <w:szCs w:val="18"/>
              </w:rPr>
              <w:t xml:space="preserve">By signing here, I </w:t>
            </w:r>
            <w:r w:rsidR="006640D1" w:rsidRPr="00E2168A">
              <w:rPr>
                <w:rFonts w:ascii="Tahoma" w:hAnsi="Tahoma" w:cs="Tahoma"/>
                <w:sz w:val="18"/>
                <w:szCs w:val="18"/>
              </w:rPr>
              <w:t>give</w:t>
            </w:r>
            <w:r w:rsidRPr="00E2168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168A">
              <w:rPr>
                <w:rFonts w:ascii="Tahoma" w:hAnsi="Tahoma" w:cs="Tahoma"/>
                <w:bCs/>
                <w:sz w:val="18"/>
                <w:szCs w:val="18"/>
              </w:rPr>
              <w:t xml:space="preserve">my consent </w:t>
            </w:r>
            <w:r w:rsidRPr="00E2168A">
              <w:rPr>
                <w:rFonts w:ascii="Tahoma" w:hAnsi="Tahoma" w:cs="Tahoma"/>
                <w:sz w:val="18"/>
                <w:szCs w:val="18"/>
              </w:rPr>
              <w:t xml:space="preserve">to the head of my school to submit a clerical re-check or a review of marking for the examination(s) listed above. In giving consent I understand that the final subject grade and/or mark awarded to me following a clerical re-check or a review of marking, and any subsequent appeal, </w:t>
            </w:r>
            <w:r w:rsidRPr="00144004">
              <w:rPr>
                <w:rFonts w:ascii="Tahoma" w:hAnsi="Tahoma" w:cs="Tahoma"/>
                <w:b/>
                <w:sz w:val="18"/>
                <w:szCs w:val="18"/>
              </w:rPr>
              <w:t>may be lower than, higher than, or the same as the result which was originally awarded for this subject</w:t>
            </w:r>
            <w:r w:rsidRPr="00144004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</w:p>
          <w:p w14:paraId="70AE7CC3" w14:textId="15D53FBC" w:rsidR="00585415" w:rsidRPr="004F179C" w:rsidRDefault="00585415" w:rsidP="000F0674">
            <w:pPr>
              <w:pStyle w:val="Headinglevel1"/>
              <w:spacing w:before="180" w:after="0"/>
              <w:rPr>
                <w:rFonts w:cs="Tahoma"/>
                <w:b w:val="0"/>
                <w:color w:val="auto"/>
                <w:sz w:val="20"/>
                <w:szCs w:val="20"/>
              </w:rPr>
            </w:pPr>
            <w:r w:rsidRPr="004F179C">
              <w:rPr>
                <w:rFonts w:cs="Tahoma"/>
                <w:b w:val="0"/>
                <w:color w:val="auto"/>
                <w:sz w:val="20"/>
                <w:szCs w:val="20"/>
              </w:rPr>
              <w:t>Signature: ………………………................…... Date:</w:t>
            </w:r>
            <w:r w:rsidRPr="004F179C">
              <w:rPr>
                <w:rFonts w:cs="Tahoma"/>
                <w:color w:val="auto"/>
                <w:sz w:val="20"/>
                <w:szCs w:val="20"/>
              </w:rPr>
              <w:t xml:space="preserve"> </w:t>
            </w:r>
            <w:r w:rsidRPr="004F179C">
              <w:rPr>
                <w:rFonts w:cs="Tahoma"/>
                <w:b w:val="0"/>
                <w:color w:val="auto"/>
                <w:sz w:val="20"/>
                <w:szCs w:val="20"/>
              </w:rPr>
              <w:t>…………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hideMark/>
          </w:tcPr>
          <w:p w14:paraId="10A9EFA7" w14:textId="40AF6067" w:rsidR="0086165A" w:rsidRPr="0086165A" w:rsidRDefault="0086165A" w:rsidP="00EF6F35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86165A">
              <w:rPr>
                <w:b/>
                <w:bCs/>
                <w:sz w:val="18"/>
                <w:szCs w:val="18"/>
              </w:rPr>
              <w:t>Access to Scripts</w:t>
            </w:r>
          </w:p>
          <w:p w14:paraId="70F549FC" w14:textId="2F4CFBE9" w:rsidR="00585415" w:rsidRPr="006640D1" w:rsidRDefault="00585415" w:rsidP="000F0674">
            <w:pPr>
              <w:spacing w:before="40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6640D1">
              <w:rPr>
                <w:b/>
                <w:bCs/>
                <w:sz w:val="20"/>
                <w:szCs w:val="20"/>
              </w:rPr>
              <w:t>Candidate consent</w:t>
            </w:r>
          </w:p>
          <w:p w14:paraId="0D244036" w14:textId="1A03CAB8" w:rsidR="00585415" w:rsidRPr="00E2168A" w:rsidRDefault="00585415" w:rsidP="000F0674">
            <w:pPr>
              <w:tabs>
                <w:tab w:val="left" w:pos="709"/>
              </w:tabs>
              <w:spacing w:before="40" w:after="40"/>
              <w:rPr>
                <w:color w:val="003399"/>
                <w:sz w:val="18"/>
                <w:szCs w:val="18"/>
              </w:rPr>
            </w:pPr>
            <w:r w:rsidRPr="00E2168A">
              <w:rPr>
                <w:sz w:val="18"/>
                <w:szCs w:val="18"/>
              </w:rPr>
              <w:t xml:space="preserve">By signing here, I consent to my scripts being accessed by my centre </w:t>
            </w:r>
            <w:r w:rsidRPr="00E2168A">
              <w:rPr>
                <w:color w:val="003399"/>
                <w:sz w:val="18"/>
                <w:szCs w:val="18"/>
              </w:rPr>
              <w:t>(Tick ONE of the boxes below)</w:t>
            </w:r>
          </w:p>
          <w:p w14:paraId="42C00E3D" w14:textId="5494ADB3" w:rsidR="00585415" w:rsidRPr="00E2168A" w:rsidRDefault="00585415" w:rsidP="00585415"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before="120" w:after="60"/>
              <w:ind w:left="452" w:hanging="283"/>
              <w:contextualSpacing w:val="0"/>
              <w:rPr>
                <w:sz w:val="18"/>
                <w:szCs w:val="18"/>
              </w:rPr>
            </w:pPr>
            <w:r w:rsidRPr="00E2168A">
              <w:rPr>
                <w:rFonts w:cs="Tahoma"/>
                <w:sz w:val="18"/>
                <w:szCs w:val="18"/>
              </w:rPr>
              <w:t>If any of my scripts are used in the classroom, I do not wish anyone to know they are mine. My name and candidate number must be removed</w:t>
            </w:r>
          </w:p>
          <w:p w14:paraId="5CEF23F5" w14:textId="31ED69D3" w:rsidR="00585415" w:rsidRPr="00E2168A" w:rsidRDefault="00585415" w:rsidP="00585415"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before="120" w:after="60"/>
              <w:ind w:left="452" w:hanging="283"/>
              <w:rPr>
                <w:sz w:val="18"/>
                <w:szCs w:val="18"/>
              </w:rPr>
            </w:pPr>
            <w:r w:rsidRPr="00E2168A">
              <w:rPr>
                <w:rFonts w:cs="Tahoma"/>
                <w:sz w:val="18"/>
                <w:szCs w:val="18"/>
              </w:rPr>
              <w:t>If any of my scripts are used in the classroom, I have no objection to other people knowing they are mine</w:t>
            </w:r>
          </w:p>
          <w:p w14:paraId="5D435A20" w14:textId="53BA8ED1" w:rsidR="00585415" w:rsidRPr="006640D1" w:rsidRDefault="00585415" w:rsidP="000F0674">
            <w:pPr>
              <w:pStyle w:val="Headinglevel1"/>
              <w:spacing w:before="180" w:after="0"/>
              <w:rPr>
                <w:rFonts w:ascii="Rockwell" w:hAnsi="Rockwell"/>
                <w:b w:val="0"/>
                <w:color w:val="auto"/>
                <w:sz w:val="18"/>
                <w:szCs w:val="18"/>
              </w:rPr>
            </w:pPr>
            <w:r w:rsidRPr="006640D1">
              <w:rPr>
                <w:rFonts w:cs="Tahoma"/>
                <w:b w:val="0"/>
                <w:color w:val="auto"/>
                <w:sz w:val="20"/>
                <w:szCs w:val="20"/>
              </w:rPr>
              <w:t>Signature: ………………………....................…... Date:</w:t>
            </w:r>
            <w:r w:rsidRPr="006640D1">
              <w:rPr>
                <w:rFonts w:cs="Tahoma"/>
                <w:color w:val="auto"/>
                <w:sz w:val="20"/>
                <w:szCs w:val="20"/>
              </w:rPr>
              <w:t xml:space="preserve"> </w:t>
            </w:r>
            <w:r w:rsidR="00814FF2" w:rsidRPr="006640D1">
              <w:rPr>
                <w:rFonts w:cs="Tahoma"/>
                <w:b w:val="0"/>
                <w:color w:val="auto"/>
                <w:sz w:val="20"/>
                <w:szCs w:val="20"/>
              </w:rPr>
              <w:t>…………</w:t>
            </w:r>
          </w:p>
        </w:tc>
      </w:tr>
      <w:tr w:rsidR="00585415" w14:paraId="4E7A03F2" w14:textId="77777777" w:rsidTr="00E2168A">
        <w:trPr>
          <w:trHeight w:val="987"/>
        </w:trPr>
        <w:tc>
          <w:tcPr>
            <w:tcW w:w="5245" w:type="dxa"/>
            <w:vMerge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  <w:hideMark/>
          </w:tcPr>
          <w:p w14:paraId="28F75ACB" w14:textId="77777777" w:rsidR="00585415" w:rsidRDefault="00585415" w:rsidP="00075A20"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  <w:hideMark/>
          </w:tcPr>
          <w:p w14:paraId="3462D45F" w14:textId="77777777" w:rsidR="00585415" w:rsidRDefault="00585415" w:rsidP="00075A20">
            <w:pPr>
              <w:rPr>
                <w:rFonts w:ascii="Rockwell" w:hAnsi="Rockwell"/>
                <w:sz w:val="18"/>
                <w:szCs w:val="18"/>
              </w:rPr>
            </w:pPr>
          </w:p>
        </w:tc>
      </w:tr>
      <w:tr w:rsidR="00585415" w14:paraId="593262BB" w14:textId="77777777" w:rsidTr="00E2168A">
        <w:trPr>
          <w:trHeight w:val="598"/>
        </w:trPr>
        <w:tc>
          <w:tcPr>
            <w:tcW w:w="5245" w:type="dxa"/>
            <w:vMerge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  <w:hideMark/>
          </w:tcPr>
          <w:p w14:paraId="39F64709" w14:textId="77777777" w:rsidR="00585415" w:rsidRDefault="00585415" w:rsidP="00075A20"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  <w:hideMark/>
          </w:tcPr>
          <w:p w14:paraId="3810023B" w14:textId="77777777" w:rsidR="00585415" w:rsidRDefault="00585415" w:rsidP="00075A20">
            <w:pPr>
              <w:rPr>
                <w:rFonts w:ascii="Rockwell" w:hAnsi="Rockwell"/>
                <w:sz w:val="18"/>
                <w:szCs w:val="18"/>
              </w:rPr>
            </w:pPr>
          </w:p>
        </w:tc>
      </w:tr>
    </w:tbl>
    <w:p w14:paraId="1B4ABBC0" w14:textId="77777777" w:rsidR="00144004" w:rsidRDefault="00144004" w:rsidP="00585415">
      <w:pPr>
        <w:spacing w:before="60" w:after="60"/>
        <w:jc w:val="center"/>
        <w:rPr>
          <w:rFonts w:cs="Tahoma"/>
          <w:sz w:val="16"/>
          <w:szCs w:val="16"/>
        </w:rPr>
      </w:pPr>
    </w:p>
    <w:p w14:paraId="7D027CD7" w14:textId="56A1E13D" w:rsidR="00585415" w:rsidRPr="00234ACB" w:rsidRDefault="00585415" w:rsidP="00585415">
      <w:pPr>
        <w:spacing w:before="60" w:after="60"/>
        <w:jc w:val="center"/>
        <w:rPr>
          <w:rFonts w:cs="Tahoma"/>
          <w:sz w:val="16"/>
          <w:szCs w:val="16"/>
        </w:rPr>
      </w:pPr>
      <w:r w:rsidRPr="00234ACB">
        <w:rPr>
          <w:rFonts w:cs="Tahoma"/>
          <w:sz w:val="16"/>
          <w:szCs w:val="16"/>
        </w:rPr>
        <w:t xml:space="preserve">Consent statements above and details of the </w:t>
      </w:r>
      <w:proofErr w:type="spellStart"/>
      <w:r w:rsidRPr="00234ACB">
        <w:rPr>
          <w:rFonts w:cs="Tahoma"/>
          <w:sz w:val="16"/>
          <w:szCs w:val="16"/>
        </w:rPr>
        <w:t>RoR</w:t>
      </w:r>
      <w:proofErr w:type="spellEnd"/>
      <w:r w:rsidRPr="00234ACB">
        <w:rPr>
          <w:rFonts w:cs="Tahoma"/>
          <w:sz w:val="16"/>
          <w:szCs w:val="16"/>
        </w:rPr>
        <w:t xml:space="preserve"> services below taken from JCQ’s </w:t>
      </w:r>
      <w:hyperlink r:id="rId16" w:history="1">
        <w:r w:rsidRPr="00234ACB">
          <w:rPr>
            <w:rStyle w:val="Hyperlink"/>
            <w:rFonts w:cs="Tahoma"/>
            <w:color w:val="0070C0"/>
            <w:sz w:val="16"/>
            <w:szCs w:val="16"/>
            <w:u w:val="none"/>
          </w:rPr>
          <w:t>Post-Results Services</w:t>
        </w:r>
      </w:hyperlink>
      <w:r w:rsidRPr="00234ACB">
        <w:rPr>
          <w:rFonts w:cs="Tahoma"/>
          <w:sz w:val="16"/>
          <w:szCs w:val="16"/>
        </w:rPr>
        <w:t xml:space="preserve"> </w:t>
      </w:r>
      <w:r w:rsidR="004F179C">
        <w:rPr>
          <w:rFonts w:cs="Tahoma"/>
          <w:sz w:val="16"/>
          <w:szCs w:val="16"/>
        </w:rPr>
        <w:t xml:space="preserve">document </w:t>
      </w:r>
      <w:r w:rsidRPr="00234ACB">
        <w:rPr>
          <w:rFonts w:cs="Tahoma"/>
          <w:sz w:val="16"/>
          <w:szCs w:val="16"/>
        </w:rPr>
        <w:t>(</w:t>
      </w:r>
      <w:r w:rsidR="004F179C">
        <w:rPr>
          <w:rFonts w:cs="Tahoma"/>
          <w:sz w:val="16"/>
          <w:szCs w:val="16"/>
        </w:rPr>
        <w:t>A</w:t>
      </w:r>
      <w:r w:rsidRPr="00234ACB">
        <w:rPr>
          <w:rFonts w:cs="Tahoma"/>
          <w:sz w:val="16"/>
          <w:szCs w:val="16"/>
        </w:rPr>
        <w:t>ppendices A</w:t>
      </w:r>
      <w:r w:rsidR="00B57544">
        <w:rPr>
          <w:rFonts w:cs="Tahoma"/>
          <w:sz w:val="16"/>
          <w:szCs w:val="16"/>
        </w:rPr>
        <w:t xml:space="preserve">, </w:t>
      </w:r>
      <w:r w:rsidRPr="00234ACB">
        <w:rPr>
          <w:rFonts w:cs="Tahoma"/>
          <w:sz w:val="16"/>
          <w:szCs w:val="16"/>
        </w:rPr>
        <w:t>B</w:t>
      </w:r>
      <w:r w:rsidR="004F179C">
        <w:rPr>
          <w:rFonts w:cs="Tahoma"/>
          <w:sz w:val="16"/>
          <w:szCs w:val="16"/>
        </w:rPr>
        <w:t>; Section 4</w:t>
      </w:r>
      <w:r w:rsidRPr="00234ACB">
        <w:rPr>
          <w:rFonts w:cs="Tahoma"/>
          <w:sz w:val="16"/>
          <w:szCs w:val="16"/>
        </w:rPr>
        <w:t>)</w:t>
      </w:r>
    </w:p>
    <w:tbl>
      <w:tblPr>
        <w:tblW w:w="10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4514"/>
        <w:gridCol w:w="5670"/>
      </w:tblGrid>
      <w:tr w:rsidR="00585415" w:rsidRPr="001F1F3F" w14:paraId="58214B5D" w14:textId="77777777" w:rsidTr="004E1D0B">
        <w:trPr>
          <w:trHeight w:val="398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637C4D4C" w14:textId="77777777" w:rsidR="00585415" w:rsidRPr="0084757C" w:rsidRDefault="00585415" w:rsidP="000F0674">
            <w:pPr>
              <w:spacing w:before="40" w:after="4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84757C">
              <w:rPr>
                <w:rFonts w:cs="Tahoma"/>
                <w:sz w:val="20"/>
                <w:szCs w:val="20"/>
                <w:lang w:eastAsia="en-US"/>
              </w:rPr>
              <w:t>SRN</w:t>
            </w:r>
          </w:p>
        </w:tc>
        <w:tc>
          <w:tcPr>
            <w:tcW w:w="4514" w:type="dxa"/>
            <w:shd w:val="clear" w:color="auto" w:fill="F2F2F2" w:themeFill="background1" w:themeFillShade="F2"/>
            <w:vAlign w:val="center"/>
            <w:hideMark/>
          </w:tcPr>
          <w:p w14:paraId="32AE4CEE" w14:textId="7338DAB1" w:rsidR="00585415" w:rsidRPr="0084757C" w:rsidRDefault="00585415" w:rsidP="000F0674">
            <w:pPr>
              <w:spacing w:before="40" w:after="4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84757C">
              <w:rPr>
                <w:rFonts w:cs="Tahoma"/>
                <w:sz w:val="20"/>
                <w:szCs w:val="20"/>
                <w:lang w:eastAsia="en-US"/>
              </w:rPr>
              <w:t>Post-results service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  <w:hideMark/>
          </w:tcPr>
          <w:p w14:paraId="0FF09F35" w14:textId="77777777" w:rsidR="00197162" w:rsidRDefault="00585415" w:rsidP="000F0674">
            <w:pPr>
              <w:spacing w:before="40" w:after="40" w:line="240" w:lineRule="auto"/>
              <w:jc w:val="center"/>
              <w:rPr>
                <w:rFonts w:cs="Tahoma"/>
                <w:b/>
                <w:color w:val="FF0000"/>
                <w:sz w:val="16"/>
                <w:szCs w:val="16"/>
                <w:highlight w:val="cyan"/>
                <w:lang w:eastAsia="en-US"/>
              </w:rPr>
            </w:pPr>
            <w:r w:rsidRPr="00954FB9">
              <w:rPr>
                <w:rFonts w:cs="Tahoma"/>
                <w:sz w:val="20"/>
                <w:szCs w:val="20"/>
                <w:lang w:eastAsia="en-US"/>
              </w:rPr>
              <w:t>Details of the service</w:t>
            </w:r>
            <w:r w:rsidR="00197162">
              <w:rPr>
                <w:rFonts w:cs="Tahoma"/>
                <w:sz w:val="20"/>
                <w:szCs w:val="20"/>
                <w:lang w:eastAsia="en-US"/>
              </w:rPr>
              <w:t xml:space="preserve">: </w:t>
            </w:r>
            <w:r w:rsidR="00197162" w:rsidRPr="00197162">
              <w:rPr>
                <w:rFonts w:cs="Tahoma"/>
                <w:b/>
                <w:color w:val="FF0000"/>
                <w:sz w:val="16"/>
                <w:szCs w:val="16"/>
                <w:lang w:eastAsia="en-US"/>
              </w:rPr>
              <w:t xml:space="preserve">deadline for R1, R2 and A2 is </w:t>
            </w:r>
          </w:p>
          <w:p w14:paraId="63CA04A6" w14:textId="2DA43777" w:rsidR="00585415" w:rsidRPr="00197162" w:rsidRDefault="00197162" w:rsidP="000F0674">
            <w:pPr>
              <w:spacing w:before="40" w:after="40" w:line="240" w:lineRule="auto"/>
              <w:jc w:val="center"/>
              <w:rPr>
                <w:rFonts w:cs="Tahoma"/>
                <w:b/>
                <w:color w:val="FF0000"/>
                <w:sz w:val="20"/>
                <w:szCs w:val="20"/>
                <w:highlight w:val="cyan"/>
                <w:lang w:eastAsia="en-US"/>
              </w:rPr>
            </w:pPr>
            <w:r w:rsidRPr="00197162">
              <w:rPr>
                <w:rFonts w:cs="Tahoma"/>
                <w:b/>
                <w:color w:val="FF0000"/>
                <w:sz w:val="16"/>
                <w:szCs w:val="16"/>
                <w:lang w:eastAsia="en-US"/>
              </w:rPr>
              <w:t>25</w:t>
            </w:r>
            <w:r w:rsidRPr="00197162">
              <w:rPr>
                <w:rFonts w:cs="Tahoma"/>
                <w:b/>
                <w:color w:val="FF0000"/>
                <w:sz w:val="16"/>
                <w:szCs w:val="16"/>
                <w:vertAlign w:val="superscript"/>
                <w:lang w:eastAsia="en-US"/>
              </w:rPr>
              <w:t>th</w:t>
            </w:r>
            <w:r w:rsidRPr="00197162">
              <w:rPr>
                <w:rFonts w:cs="Tahoma"/>
                <w:b/>
                <w:color w:val="FF0000"/>
                <w:sz w:val="16"/>
                <w:szCs w:val="16"/>
                <w:lang w:eastAsia="en-US"/>
              </w:rPr>
              <w:t xml:space="preserve"> September 2025</w:t>
            </w:r>
            <w:r w:rsidRPr="00197162">
              <w:rPr>
                <w:rFonts w:cs="Tahoma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F6A07" w:rsidRPr="00B708A4" w14:paraId="5EE85627" w14:textId="77777777" w:rsidTr="004E1D0B">
        <w:trPr>
          <w:trHeight w:val="705"/>
        </w:trPr>
        <w:tc>
          <w:tcPr>
            <w:tcW w:w="723" w:type="dxa"/>
            <w:shd w:val="clear" w:color="auto" w:fill="auto"/>
            <w:vAlign w:val="center"/>
            <w:hideMark/>
          </w:tcPr>
          <w:p w14:paraId="105520AE" w14:textId="77777777" w:rsidR="000F6A07" w:rsidRPr="004E1D0B" w:rsidRDefault="000F6A07" w:rsidP="000F0674">
            <w:pPr>
              <w:spacing w:before="40" w:after="4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4E1D0B">
              <w:rPr>
                <w:rFonts w:cs="Tahoma"/>
                <w:bCs/>
                <w:sz w:val="20"/>
                <w:szCs w:val="20"/>
                <w:lang w:eastAsia="en-US"/>
              </w:rPr>
              <w:t>R1</w:t>
            </w: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14:paraId="2CD36A49" w14:textId="45F64298" w:rsidR="000F6A07" w:rsidRPr="004E1D0B" w:rsidRDefault="000F6A07" w:rsidP="000F0674">
            <w:pPr>
              <w:spacing w:before="40" w:after="40" w:line="240" w:lineRule="auto"/>
              <w:rPr>
                <w:rFonts w:cs="Tahoma"/>
                <w:bCs/>
                <w:sz w:val="20"/>
                <w:szCs w:val="20"/>
              </w:rPr>
            </w:pPr>
            <w:proofErr w:type="spellStart"/>
            <w:r w:rsidRPr="00D43BA7">
              <w:rPr>
                <w:rFonts w:cs="Tahoma"/>
                <w:bCs/>
                <w:sz w:val="20"/>
                <w:szCs w:val="20"/>
              </w:rPr>
              <w:t>RoR</w:t>
            </w:r>
            <w:proofErr w:type="spellEnd"/>
            <w:r w:rsidRPr="004E1D0B">
              <w:rPr>
                <w:rFonts w:cs="Tahoma"/>
                <w:b/>
                <w:sz w:val="20"/>
                <w:szCs w:val="20"/>
              </w:rPr>
              <w:t xml:space="preserve"> Service 1</w:t>
            </w:r>
            <w:r w:rsidRPr="004E1D0B">
              <w:rPr>
                <w:rFonts w:cs="Tahoma"/>
                <w:bCs/>
                <w:sz w:val="20"/>
                <w:szCs w:val="20"/>
              </w:rPr>
              <w:t>: Clerical re-check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D3B16D8" w14:textId="5D84D19D" w:rsidR="000F6A07" w:rsidRPr="00954FB9" w:rsidRDefault="000F6A07" w:rsidP="000F0674">
            <w:pPr>
              <w:pStyle w:val="ListParagraph"/>
              <w:spacing w:before="40" w:after="40" w:line="240" w:lineRule="auto"/>
              <w:ind w:left="40"/>
              <w:rPr>
                <w:rFonts w:cs="Tahoma"/>
                <w:color w:val="000000"/>
                <w:sz w:val="16"/>
                <w:szCs w:val="16"/>
              </w:rPr>
            </w:pPr>
            <w:r w:rsidRPr="00954FB9">
              <w:rPr>
                <w:rFonts w:cs="Tahoma"/>
                <w:sz w:val="16"/>
                <w:szCs w:val="16"/>
              </w:rPr>
              <w:t xml:space="preserve">This service will include the following checks: that all parts of the script have been marked; the totalling of marks; the recording of marks. </w:t>
            </w:r>
          </w:p>
        </w:tc>
      </w:tr>
      <w:tr w:rsidR="00144004" w:rsidRPr="00B708A4" w14:paraId="0B64F180" w14:textId="77777777" w:rsidTr="00320E63">
        <w:trPr>
          <w:trHeight w:val="1095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123DEF69" w14:textId="77777777" w:rsidR="00144004" w:rsidRPr="004E1D0B" w:rsidRDefault="00144004" w:rsidP="000F0674">
            <w:pPr>
              <w:spacing w:before="40" w:after="4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4E1D0B">
              <w:rPr>
                <w:rFonts w:cs="Tahoma"/>
                <w:bCs/>
                <w:sz w:val="20"/>
                <w:szCs w:val="20"/>
                <w:lang w:eastAsia="en-US"/>
              </w:rPr>
              <w:t>R2</w:t>
            </w:r>
          </w:p>
        </w:tc>
        <w:tc>
          <w:tcPr>
            <w:tcW w:w="4514" w:type="dxa"/>
            <w:shd w:val="clear" w:color="auto" w:fill="F2F2F2" w:themeFill="background1" w:themeFillShade="F2"/>
            <w:vAlign w:val="center"/>
            <w:hideMark/>
          </w:tcPr>
          <w:p w14:paraId="6D164F6E" w14:textId="5D7DC168" w:rsidR="00144004" w:rsidRPr="004E1D0B" w:rsidRDefault="00144004" w:rsidP="000F0674">
            <w:pPr>
              <w:spacing w:before="40" w:after="4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proofErr w:type="spellStart"/>
            <w:r w:rsidRPr="00D43BA7">
              <w:rPr>
                <w:rFonts w:cs="Tahoma"/>
                <w:bCs/>
                <w:sz w:val="20"/>
                <w:szCs w:val="20"/>
                <w:lang w:eastAsia="en-US"/>
              </w:rPr>
              <w:t>RoR</w:t>
            </w:r>
            <w:proofErr w:type="spellEnd"/>
            <w:r w:rsidRPr="004E1D0B">
              <w:rPr>
                <w:rFonts w:cs="Tahoma"/>
                <w:b/>
                <w:sz w:val="20"/>
                <w:szCs w:val="20"/>
                <w:lang w:eastAsia="en-US"/>
              </w:rPr>
              <w:t xml:space="preserve"> </w:t>
            </w:r>
            <w:r w:rsidRPr="004E1D0B">
              <w:rPr>
                <w:rFonts w:cs="Tahoma"/>
                <w:b/>
                <w:bCs/>
                <w:sz w:val="20"/>
                <w:szCs w:val="20"/>
                <w:lang w:eastAsia="en-US"/>
              </w:rPr>
              <w:t>Service 2</w:t>
            </w:r>
            <w:r w:rsidRPr="004E1D0B">
              <w:rPr>
                <w:rFonts w:cs="Tahoma"/>
                <w:bCs/>
                <w:sz w:val="20"/>
                <w:szCs w:val="20"/>
                <w:lang w:eastAsia="en-US"/>
              </w:rPr>
              <w:t>: Review of marking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  <w:hideMark/>
          </w:tcPr>
          <w:p w14:paraId="6CB2333F" w14:textId="4EC36B9F" w:rsidR="00144004" w:rsidRPr="00954FB9" w:rsidRDefault="00144004" w:rsidP="000F0674">
            <w:pPr>
              <w:spacing w:before="40" w:after="40" w:line="240" w:lineRule="auto"/>
              <w:rPr>
                <w:rFonts w:cs="Tahoma"/>
                <w:color w:val="FF3300"/>
                <w:sz w:val="16"/>
                <w:szCs w:val="16"/>
              </w:rPr>
            </w:pPr>
            <w:r w:rsidRPr="00954FB9">
              <w:rPr>
                <w:rFonts w:cs="Tahoma"/>
                <w:sz w:val="16"/>
                <w:szCs w:val="16"/>
              </w:rPr>
              <w:t xml:space="preserve">This is a post-results review of the original marking to ensure that the mark scheme has been applied correctly...  </w:t>
            </w:r>
            <w:r w:rsidRPr="00144004">
              <w:rPr>
                <w:rFonts w:cs="Tahoma"/>
                <w:color w:val="FF0000"/>
                <w:sz w:val="16"/>
                <w:szCs w:val="16"/>
              </w:rPr>
              <w:t xml:space="preserve">Reviewers </w:t>
            </w:r>
            <w:r w:rsidRPr="00144004">
              <w:rPr>
                <w:rFonts w:cs="Tahoma"/>
                <w:b/>
                <w:bCs/>
                <w:color w:val="FF0000"/>
                <w:sz w:val="16"/>
                <w:szCs w:val="16"/>
              </w:rPr>
              <w:t>will not</w:t>
            </w:r>
            <w:r w:rsidRPr="00144004">
              <w:rPr>
                <w:rFonts w:cs="Tahoma"/>
                <w:color w:val="FF0000"/>
                <w:sz w:val="16"/>
                <w:szCs w:val="16"/>
              </w:rPr>
              <w:t xml:space="preserve"> re-mark the script</w:t>
            </w:r>
            <w:r w:rsidRPr="00954FB9">
              <w:rPr>
                <w:rFonts w:cs="Tahoma"/>
                <w:sz w:val="16"/>
                <w:szCs w:val="16"/>
              </w:rPr>
              <w:t xml:space="preserve">. They will only act to correct any errors identified in the original marking. This service will include: the clerical re-checks detailed in Service 1; a review of marking as described above. </w:t>
            </w:r>
          </w:p>
        </w:tc>
        <w:bookmarkStart w:id="1" w:name="_GoBack"/>
        <w:bookmarkEnd w:id="1"/>
      </w:tr>
      <w:tr w:rsidR="002A0D92" w:rsidRPr="00A87EF6" w14:paraId="13031036" w14:textId="77777777" w:rsidTr="002A0D92">
        <w:trPr>
          <w:trHeight w:val="634"/>
        </w:trPr>
        <w:tc>
          <w:tcPr>
            <w:tcW w:w="723" w:type="dxa"/>
            <w:shd w:val="clear" w:color="auto" w:fill="auto"/>
            <w:vAlign w:val="center"/>
            <w:hideMark/>
          </w:tcPr>
          <w:p w14:paraId="3A1CBEAD" w14:textId="775ECDE9" w:rsidR="002A0D92" w:rsidRPr="00A87EF6" w:rsidRDefault="002A0D92" w:rsidP="000F0674">
            <w:pPr>
              <w:spacing w:before="40" w:after="4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A87EF6">
              <w:rPr>
                <w:rFonts w:cs="Tahoma"/>
                <w:bCs/>
                <w:sz w:val="20"/>
                <w:szCs w:val="20"/>
                <w:lang w:eastAsia="en-US"/>
              </w:rPr>
              <w:t>A1</w:t>
            </w: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14:paraId="7BCBBB73" w14:textId="71495CFF" w:rsidR="002A0D92" w:rsidRPr="00A87EF6" w:rsidRDefault="002A0D92" w:rsidP="000F0674">
            <w:pPr>
              <w:spacing w:before="40" w:after="4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D43BA7">
              <w:rPr>
                <w:rFonts w:cs="Tahoma"/>
                <w:bCs/>
                <w:sz w:val="20"/>
                <w:szCs w:val="20"/>
                <w:lang w:eastAsia="en-US"/>
              </w:rPr>
              <w:t>ATS</w:t>
            </w:r>
            <w:r w:rsidRPr="00A87EF6">
              <w:rPr>
                <w:rFonts w:cs="Tahoma"/>
                <w:bCs/>
                <w:sz w:val="20"/>
                <w:szCs w:val="20"/>
                <w:lang w:eastAsia="en-US"/>
              </w:rPr>
              <w:t xml:space="preserve">: Copy of script to support </w:t>
            </w:r>
            <w:r w:rsidRPr="00134405">
              <w:rPr>
                <w:rFonts w:cs="Tahoma"/>
                <w:b/>
                <w:bCs/>
                <w:sz w:val="20"/>
                <w:szCs w:val="20"/>
                <w:lang w:eastAsia="en-US"/>
              </w:rPr>
              <w:t>review of marking</w:t>
            </w:r>
            <w:r w:rsidRPr="00A87EF6">
              <w:rPr>
                <w:rFonts w:cs="Tahoma"/>
                <w:b/>
                <w:b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F82BC30" w14:textId="77777777" w:rsidR="002A0D92" w:rsidRDefault="002A0D92" w:rsidP="000F0674">
            <w:pPr>
              <w:pStyle w:val="Default"/>
              <w:spacing w:before="40" w:after="4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6640D1">
              <w:rPr>
                <w:rFonts w:ascii="Tahoma" w:hAnsi="Tahoma" w:cs="Tahoma"/>
                <w:sz w:val="16"/>
                <w:szCs w:val="16"/>
                <w:lang w:eastAsia="en-US"/>
              </w:rPr>
              <w:t>This is a priority service to ensure copies of marked scripts are provided in sufficient time to allow decisions to be made whether a review of marking or clerical re-check should be requested.</w:t>
            </w:r>
          </w:p>
          <w:p w14:paraId="51E32B5B" w14:textId="21AC68F5" w:rsidR="00455A0D" w:rsidRPr="00197162" w:rsidRDefault="00197162" w:rsidP="00197162">
            <w:pPr>
              <w:pStyle w:val="Default"/>
              <w:spacing w:before="40" w:after="40"/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lang w:eastAsia="en-US"/>
              </w:rPr>
              <w:t>Deadline 4</w:t>
            </w:r>
            <w:r w:rsidRPr="00197162">
              <w:rPr>
                <w:rFonts w:ascii="Tahoma" w:hAnsi="Tahoma" w:cs="Tahoma"/>
                <w:b/>
                <w:color w:val="FF0000"/>
                <w:sz w:val="16"/>
                <w:szCs w:val="16"/>
                <w:vertAlign w:val="superscript"/>
                <w:lang w:eastAsia="en-US"/>
              </w:rPr>
              <w:t>th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  <w:lang w:eastAsia="en-US"/>
              </w:rPr>
              <w:t xml:space="preserve"> September 2025</w:t>
            </w:r>
          </w:p>
        </w:tc>
      </w:tr>
      <w:tr w:rsidR="002A0D92" w:rsidRPr="00B708A4" w14:paraId="5BD741C7" w14:textId="77777777" w:rsidTr="002A0D92">
        <w:trPr>
          <w:trHeight w:val="526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7791AC66" w14:textId="52A2E2F6" w:rsidR="002A0D92" w:rsidRPr="00A87EF6" w:rsidRDefault="002A0D92" w:rsidP="000F0674">
            <w:pPr>
              <w:spacing w:before="40" w:after="4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A87EF6">
              <w:rPr>
                <w:rFonts w:cs="Tahoma"/>
                <w:bCs/>
                <w:sz w:val="20"/>
                <w:szCs w:val="20"/>
                <w:lang w:eastAsia="en-US"/>
              </w:rPr>
              <w:t>A2</w:t>
            </w:r>
          </w:p>
        </w:tc>
        <w:tc>
          <w:tcPr>
            <w:tcW w:w="4514" w:type="dxa"/>
            <w:shd w:val="clear" w:color="auto" w:fill="F2F2F2" w:themeFill="background1" w:themeFillShade="F2"/>
            <w:vAlign w:val="center"/>
            <w:hideMark/>
          </w:tcPr>
          <w:p w14:paraId="2A8FBB85" w14:textId="1016F14D" w:rsidR="002A0D92" w:rsidRPr="00A87EF6" w:rsidRDefault="002A0D92" w:rsidP="000F0674">
            <w:pPr>
              <w:spacing w:before="40" w:after="4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D43BA7">
              <w:rPr>
                <w:rFonts w:cs="Tahoma"/>
                <w:bCs/>
                <w:sz w:val="20"/>
                <w:szCs w:val="20"/>
                <w:lang w:eastAsia="en-US"/>
              </w:rPr>
              <w:t>ATS</w:t>
            </w:r>
            <w:r w:rsidRPr="00A87EF6">
              <w:rPr>
                <w:rFonts w:cs="Tahoma"/>
                <w:bCs/>
                <w:sz w:val="20"/>
                <w:szCs w:val="20"/>
                <w:lang w:eastAsia="en-US"/>
              </w:rPr>
              <w:t xml:space="preserve">: </w:t>
            </w:r>
            <w:r w:rsidRPr="00A87EF6"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 w:rsidRPr="00134405">
              <w:rPr>
                <w:rFonts w:cs="Tahoma"/>
                <w:b/>
                <w:bCs/>
                <w:sz w:val="20"/>
                <w:szCs w:val="20"/>
              </w:rPr>
              <w:t>teaching and learning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  <w:hideMark/>
          </w:tcPr>
          <w:p w14:paraId="67199789" w14:textId="49E13C51" w:rsidR="002A0D92" w:rsidRPr="002A0D92" w:rsidRDefault="002A0D92" w:rsidP="000F0674">
            <w:pPr>
              <w:spacing w:before="40" w:after="40" w:line="240" w:lineRule="auto"/>
              <w:rPr>
                <w:rFonts w:cs="Tahoma"/>
                <w:sz w:val="16"/>
                <w:szCs w:val="16"/>
                <w:highlight w:val="cyan"/>
                <w:lang w:eastAsia="en-US"/>
              </w:rPr>
            </w:pPr>
            <w:r w:rsidRPr="006640D1">
              <w:rPr>
                <w:rFonts w:cs="Tahoma"/>
                <w:sz w:val="16"/>
                <w:szCs w:val="16"/>
                <w:lang w:eastAsia="en-US"/>
              </w:rPr>
              <w:t xml:space="preserve">This is a non-priority service to request copies of marked scripts to support teaching and learning.                                                                                                                          </w:t>
            </w:r>
          </w:p>
        </w:tc>
      </w:tr>
    </w:tbl>
    <w:p w14:paraId="704C6E92" w14:textId="5207A5A2" w:rsidR="000F6A07" w:rsidRPr="00954FB9" w:rsidRDefault="000F6A07" w:rsidP="00E2168A">
      <w:pPr>
        <w:spacing w:before="60" w:after="0" w:line="240" w:lineRule="auto"/>
        <w:rPr>
          <w:bCs/>
          <w:sz w:val="10"/>
          <w:szCs w:val="10"/>
        </w:rPr>
      </w:pPr>
    </w:p>
    <w:p w14:paraId="6C03556B" w14:textId="73307C7A" w:rsidR="00585415" w:rsidRPr="00496243" w:rsidRDefault="00585415" w:rsidP="000F0674">
      <w:pPr>
        <w:spacing w:after="60" w:line="240" w:lineRule="auto"/>
        <w:rPr>
          <w:rFonts w:ascii="Rockwell" w:hAnsi="Rockwell" w:cs="Arial"/>
          <w:sz w:val="18"/>
          <w:szCs w:val="18"/>
        </w:rPr>
      </w:pPr>
      <w:r w:rsidRPr="00496243">
        <w:rPr>
          <w:bCs/>
          <w:sz w:val="18"/>
          <w:szCs w:val="18"/>
        </w:rPr>
        <w:t>FOR EXAMS OFFICE USE ONLY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276"/>
        <w:gridCol w:w="812"/>
        <w:gridCol w:w="1079"/>
        <w:gridCol w:w="1046"/>
        <w:gridCol w:w="1167"/>
        <w:gridCol w:w="1067"/>
        <w:gridCol w:w="1079"/>
        <w:gridCol w:w="1070"/>
        <w:gridCol w:w="1167"/>
        <w:gridCol w:w="1010"/>
      </w:tblGrid>
      <w:tr w:rsidR="00585415" w:rsidRPr="00496243" w14:paraId="6250963F" w14:textId="77777777" w:rsidTr="00075A2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6F0D9D0" w14:textId="77777777" w:rsidR="00585415" w:rsidRPr="00496243" w:rsidRDefault="00585415" w:rsidP="00075A20">
            <w:pPr>
              <w:spacing w:before="120" w:after="120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 xml:space="preserve">Total fee(s) received  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E0E8C9" w14:textId="77777777" w:rsidR="00585415" w:rsidRPr="00496243" w:rsidRDefault="00585415" w:rsidP="00075A20">
            <w:pPr>
              <w:spacing w:before="120" w:after="120"/>
              <w:rPr>
                <w:rFonts w:cs="Tahoma"/>
                <w:bCs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bCs/>
                <w:sz w:val="18"/>
                <w:szCs w:val="18"/>
              </w:rPr>
              <w:t>£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F4F5A41" w14:textId="45FABC2F" w:rsidR="00585415" w:rsidRPr="00496243" w:rsidRDefault="00585415" w:rsidP="00075A20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Service(s) applied for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467DE7" w14:textId="77777777" w:rsidR="00585415" w:rsidRPr="00496243" w:rsidRDefault="00585415" w:rsidP="00075A20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558DE5D" w14:textId="77777777" w:rsidR="00585415" w:rsidRPr="00496243" w:rsidRDefault="00585415" w:rsidP="00075A20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Outcome(s) received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57484A" w14:textId="2634D95D" w:rsidR="00585415" w:rsidRPr="00496243" w:rsidRDefault="00585415" w:rsidP="00075A20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87D02B1" w14:textId="39184D05" w:rsidR="00585415" w:rsidRPr="00496243" w:rsidRDefault="00585415" w:rsidP="00075A20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Candidate notified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DD28E6" w14:textId="77777777" w:rsidR="00585415" w:rsidRPr="00496243" w:rsidRDefault="00585415" w:rsidP="00075A20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576EF47" w14:textId="77777777" w:rsidR="00585415" w:rsidRPr="00496243" w:rsidRDefault="00585415" w:rsidP="00075A20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Outcome(s) complete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C6239A" w14:textId="77777777" w:rsidR="00585415" w:rsidRPr="00496243" w:rsidRDefault="00585415" w:rsidP="00075A20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</w:tr>
      <w:bookmarkEnd w:id="0"/>
    </w:tbl>
    <w:p w14:paraId="7697C0C1" w14:textId="2753BC58" w:rsidR="00585415" w:rsidRDefault="00585415" w:rsidP="000F0674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sectPr w:rsidR="00585415" w:rsidSect="000F0674">
      <w:footerReference w:type="default" r:id="rId17"/>
      <w:footerReference w:type="first" r:id="rId18"/>
      <w:pgSz w:w="11906" w:h="16838" w:code="9"/>
      <w:pgMar w:top="567" w:right="567" w:bottom="868" w:left="567" w:header="284" w:footer="2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FE925" w14:textId="77777777" w:rsidR="00CE5A0A" w:rsidRDefault="00CE5A0A" w:rsidP="00666FC9">
      <w:pPr>
        <w:spacing w:after="0" w:line="240" w:lineRule="auto"/>
      </w:pPr>
      <w:r>
        <w:separator/>
      </w:r>
    </w:p>
  </w:endnote>
  <w:endnote w:type="continuationSeparator" w:id="0">
    <w:p w14:paraId="49F7992D" w14:textId="77777777" w:rsidR="00CE5A0A" w:rsidRDefault="00CE5A0A" w:rsidP="006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23341" w14:textId="0284091C" w:rsidR="008F24CF" w:rsidRPr="009670CC" w:rsidRDefault="008F24CF" w:rsidP="00B66687">
    <w:pPr>
      <w:spacing w:after="0" w:line="240" w:lineRule="auto"/>
      <w:rPr>
        <w:rFonts w:ascii="Rockwell" w:hAnsi="Rockwel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7E289" w14:textId="56437AA0" w:rsidR="009670CC" w:rsidRPr="009600B5" w:rsidRDefault="009670CC" w:rsidP="009670CC">
    <w:pPr>
      <w:spacing w:after="0" w:line="240" w:lineRule="auto"/>
      <w:rPr>
        <w:rFonts w:ascii="Avenir Book" w:hAnsi="Avenir Book"/>
        <w:color w:val="FF3300"/>
        <w:sz w:val="16"/>
        <w:szCs w:val="16"/>
      </w:rPr>
    </w:pPr>
    <w:r w:rsidRPr="009600B5">
      <w:rPr>
        <w:rFonts w:ascii="Avenir Book" w:hAnsi="Avenir Book"/>
        <w:color w:val="FF3300"/>
        <w:sz w:val="16"/>
        <w:szCs w:val="16"/>
      </w:rPr>
      <w:t xml:space="preserve">This template is provided for members of </w:t>
    </w:r>
    <w:r w:rsidRPr="009600B5">
      <w:rPr>
        <w:rFonts w:ascii="Avenir Book" w:hAnsi="Avenir Book"/>
        <w:b/>
        <w:bCs/>
        <w:iCs/>
        <w:color w:val="FF3300"/>
        <w:sz w:val="16"/>
        <w:szCs w:val="16"/>
      </w:rPr>
      <w:t>The Exams Office</w:t>
    </w:r>
    <w:r w:rsidRPr="009600B5">
      <w:rPr>
        <w:rFonts w:ascii="Avenir Book" w:hAnsi="Avenir Book"/>
        <w:color w:val="FF3300"/>
        <w:sz w:val="16"/>
        <w:szCs w:val="16"/>
      </w:rPr>
      <w:t xml:space="preserve"> </w:t>
    </w:r>
    <w:r w:rsidRPr="009600B5">
      <w:rPr>
        <w:rFonts w:ascii="Avenir Book" w:hAnsi="Avenir Book"/>
        <w:bCs/>
        <w:color w:val="FF3300"/>
        <w:sz w:val="16"/>
        <w:szCs w:val="16"/>
        <w:u w:val="single"/>
      </w:rPr>
      <w:t>only</w:t>
    </w:r>
    <w:r w:rsidRPr="009600B5">
      <w:rPr>
        <w:rFonts w:ascii="Avenir Book" w:hAnsi="Avenir Book"/>
        <w:b/>
        <w:color w:val="FF3300"/>
        <w:sz w:val="16"/>
        <w:szCs w:val="16"/>
      </w:rPr>
      <w:t xml:space="preserve"> </w:t>
    </w:r>
    <w:r w:rsidRPr="009600B5">
      <w:rPr>
        <w:rFonts w:ascii="Avenir Book" w:hAnsi="Avenir Book"/>
        <w:color w:val="FF3300"/>
        <w:sz w:val="16"/>
        <w:szCs w:val="16"/>
      </w:rPr>
      <w:t xml:space="preserve">and must not be shared beyond use in your centre </w:t>
    </w:r>
  </w:p>
  <w:p w14:paraId="4F48B3B9" w14:textId="38039F41" w:rsidR="009670CC" w:rsidRPr="009600B5" w:rsidRDefault="00CB44C0" w:rsidP="009670CC">
    <w:pPr>
      <w:spacing w:after="0" w:line="240" w:lineRule="auto"/>
      <w:jc w:val="right"/>
      <w:rPr>
        <w:rFonts w:ascii="Avenir Book" w:hAnsi="Avenir Book"/>
        <w:sz w:val="16"/>
        <w:szCs w:val="16"/>
      </w:rPr>
    </w:pPr>
    <w:r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POST-RESULTS SERVICES: </w:t>
    </w:r>
    <w:r w:rsidR="0085336E">
      <w:rPr>
        <w:rFonts w:ascii="Avenir Book" w:hAnsi="Avenir Book"/>
        <w:b/>
        <w:noProof/>
        <w:color w:val="262626" w:themeColor="text1" w:themeTint="D9"/>
        <w:sz w:val="16"/>
        <w:szCs w:val="16"/>
      </w:rPr>
      <w:t>REQUEST, CONSENT AND PAYMENT FORM</w:t>
    </w:r>
    <w:r w:rsidR="006E7571" w:rsidRPr="009600B5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 TEMPLATE</w:t>
    </w:r>
    <w:r w:rsidR="009670CC" w:rsidRPr="009600B5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 </w:t>
    </w:r>
    <w:r w:rsidR="009670CC" w:rsidRPr="009600B5">
      <w:rPr>
        <w:rFonts w:ascii="Avenir Book" w:hAnsi="Avenir Book"/>
        <w:noProof/>
        <w:color w:val="262626" w:themeColor="text1" w:themeTint="D9"/>
        <w:sz w:val="16"/>
        <w:szCs w:val="16"/>
      </w:rPr>
      <w:t>(</w:t>
    </w:r>
    <w:r w:rsidR="002A0D92">
      <w:rPr>
        <w:rFonts w:ascii="Avenir Book" w:hAnsi="Avenir Book"/>
        <w:noProof/>
        <w:color w:val="262626" w:themeColor="text1" w:themeTint="D9"/>
        <w:sz w:val="16"/>
        <w:szCs w:val="16"/>
      </w:rPr>
      <w:t>Summ</w:t>
    </w:r>
    <w:r>
      <w:rPr>
        <w:rFonts w:ascii="Avenir Book" w:hAnsi="Avenir Book"/>
        <w:noProof/>
        <w:color w:val="262626" w:themeColor="text1" w:themeTint="D9"/>
        <w:sz w:val="16"/>
        <w:szCs w:val="16"/>
      </w:rPr>
      <w:t>er 202</w:t>
    </w:r>
    <w:r w:rsidR="002A0D92">
      <w:rPr>
        <w:rFonts w:ascii="Avenir Book" w:hAnsi="Avenir Book"/>
        <w:noProof/>
        <w:color w:val="262626" w:themeColor="text1" w:themeTint="D9"/>
        <w:sz w:val="16"/>
        <w:szCs w:val="16"/>
      </w:rPr>
      <w:t>5</w:t>
    </w:r>
    <w:r>
      <w:rPr>
        <w:rFonts w:ascii="Avenir Book" w:hAnsi="Avenir Book"/>
        <w:noProof/>
        <w:color w:val="262626" w:themeColor="text1" w:themeTint="D9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69E3A" w14:textId="77777777" w:rsidR="00CE5A0A" w:rsidRDefault="00CE5A0A" w:rsidP="00666FC9">
      <w:pPr>
        <w:spacing w:after="0" w:line="240" w:lineRule="auto"/>
      </w:pPr>
      <w:r>
        <w:separator/>
      </w:r>
    </w:p>
  </w:footnote>
  <w:footnote w:type="continuationSeparator" w:id="0">
    <w:p w14:paraId="1457CE5F" w14:textId="77777777" w:rsidR="00CE5A0A" w:rsidRDefault="00CE5A0A" w:rsidP="00666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3C76"/>
    <w:multiLevelType w:val="multilevel"/>
    <w:tmpl w:val="847E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84207"/>
    <w:multiLevelType w:val="multilevel"/>
    <w:tmpl w:val="9650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1081C"/>
    <w:multiLevelType w:val="multilevel"/>
    <w:tmpl w:val="9A4E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256A7"/>
    <w:multiLevelType w:val="hybridMultilevel"/>
    <w:tmpl w:val="0D54A120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3DFB05B0"/>
    <w:multiLevelType w:val="multilevel"/>
    <w:tmpl w:val="DE1A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917CA1"/>
    <w:multiLevelType w:val="multilevel"/>
    <w:tmpl w:val="53762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AED3B5C"/>
    <w:multiLevelType w:val="hybridMultilevel"/>
    <w:tmpl w:val="DCFEB7D6"/>
    <w:lvl w:ilvl="0" w:tplc="348C48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C6812"/>
    <w:multiLevelType w:val="hybridMultilevel"/>
    <w:tmpl w:val="8C96E4F6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6"/>
  </w:num>
  <w:num w:numId="5">
    <w:abstractNumId w:val="7"/>
  </w:num>
  <w:num w:numId="6">
    <w:abstractNumId w:val="26"/>
  </w:num>
  <w:num w:numId="7">
    <w:abstractNumId w:val="25"/>
  </w:num>
  <w:num w:numId="8">
    <w:abstractNumId w:val="0"/>
  </w:num>
  <w:num w:numId="9">
    <w:abstractNumId w:val="27"/>
  </w:num>
  <w:num w:numId="10">
    <w:abstractNumId w:val="24"/>
  </w:num>
  <w:num w:numId="11">
    <w:abstractNumId w:val="29"/>
  </w:num>
  <w:num w:numId="12">
    <w:abstractNumId w:val="31"/>
  </w:num>
  <w:num w:numId="13">
    <w:abstractNumId w:val="22"/>
  </w:num>
  <w:num w:numId="14">
    <w:abstractNumId w:val="5"/>
  </w:num>
  <w:num w:numId="15">
    <w:abstractNumId w:val="30"/>
  </w:num>
  <w:num w:numId="16">
    <w:abstractNumId w:val="6"/>
  </w:num>
  <w:num w:numId="17">
    <w:abstractNumId w:val="9"/>
  </w:num>
  <w:num w:numId="18">
    <w:abstractNumId w:val="19"/>
  </w:num>
  <w:num w:numId="19">
    <w:abstractNumId w:val="15"/>
  </w:num>
  <w:num w:numId="20">
    <w:abstractNumId w:val="20"/>
  </w:num>
  <w:num w:numId="21">
    <w:abstractNumId w:val="4"/>
  </w:num>
  <w:num w:numId="22">
    <w:abstractNumId w:val="11"/>
  </w:num>
  <w:num w:numId="23">
    <w:abstractNumId w:val="23"/>
  </w:num>
  <w:num w:numId="24">
    <w:abstractNumId w:val="18"/>
  </w:num>
  <w:num w:numId="25">
    <w:abstractNumId w:val="21"/>
  </w:num>
  <w:num w:numId="26">
    <w:abstractNumId w:val="12"/>
  </w:num>
  <w:num w:numId="27">
    <w:abstractNumId w:val="8"/>
  </w:num>
  <w:num w:numId="28">
    <w:abstractNumId w:val="28"/>
  </w:num>
  <w:num w:numId="29">
    <w:abstractNumId w:val="14"/>
  </w:num>
  <w:num w:numId="30">
    <w:abstractNumId w:val="3"/>
  </w:num>
  <w:num w:numId="31">
    <w:abstractNumId w:val="1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7957"/>
    <w:rsid w:val="0001345E"/>
    <w:rsid w:val="000141B7"/>
    <w:rsid w:val="0001722F"/>
    <w:rsid w:val="00031B05"/>
    <w:rsid w:val="00054B15"/>
    <w:rsid w:val="00063D67"/>
    <w:rsid w:val="00070BB4"/>
    <w:rsid w:val="00074FFB"/>
    <w:rsid w:val="000821C2"/>
    <w:rsid w:val="000A3A32"/>
    <w:rsid w:val="000A62AA"/>
    <w:rsid w:val="000B1744"/>
    <w:rsid w:val="000B5839"/>
    <w:rsid w:val="000C3A16"/>
    <w:rsid w:val="000C5288"/>
    <w:rsid w:val="000C770C"/>
    <w:rsid w:val="000F0674"/>
    <w:rsid w:val="000F5077"/>
    <w:rsid w:val="000F6A07"/>
    <w:rsid w:val="00100FFB"/>
    <w:rsid w:val="0010708B"/>
    <w:rsid w:val="00117AEB"/>
    <w:rsid w:val="00126610"/>
    <w:rsid w:val="001267C8"/>
    <w:rsid w:val="00134405"/>
    <w:rsid w:val="00140D29"/>
    <w:rsid w:val="00144004"/>
    <w:rsid w:val="00155878"/>
    <w:rsid w:val="00156810"/>
    <w:rsid w:val="001600A2"/>
    <w:rsid w:val="00166847"/>
    <w:rsid w:val="001744D2"/>
    <w:rsid w:val="001766B4"/>
    <w:rsid w:val="00181E54"/>
    <w:rsid w:val="00182B1E"/>
    <w:rsid w:val="001873ED"/>
    <w:rsid w:val="00196349"/>
    <w:rsid w:val="00197162"/>
    <w:rsid w:val="001A1CC3"/>
    <w:rsid w:val="001A604C"/>
    <w:rsid w:val="001B5753"/>
    <w:rsid w:val="001C39EE"/>
    <w:rsid w:val="001C4021"/>
    <w:rsid w:val="001D33A0"/>
    <w:rsid w:val="001D607A"/>
    <w:rsid w:val="001E0C28"/>
    <w:rsid w:val="00207973"/>
    <w:rsid w:val="00207F56"/>
    <w:rsid w:val="00223971"/>
    <w:rsid w:val="00232CA4"/>
    <w:rsid w:val="00234ACB"/>
    <w:rsid w:val="00236116"/>
    <w:rsid w:val="00237E78"/>
    <w:rsid w:val="002427EC"/>
    <w:rsid w:val="00247EF2"/>
    <w:rsid w:val="00255A97"/>
    <w:rsid w:val="002578E1"/>
    <w:rsid w:val="002618E6"/>
    <w:rsid w:val="0026199F"/>
    <w:rsid w:val="00262E91"/>
    <w:rsid w:val="002637C5"/>
    <w:rsid w:val="00265F62"/>
    <w:rsid w:val="0029081D"/>
    <w:rsid w:val="002935BA"/>
    <w:rsid w:val="002A0D92"/>
    <w:rsid w:val="002A5DD8"/>
    <w:rsid w:val="002C1796"/>
    <w:rsid w:val="002C17E4"/>
    <w:rsid w:val="002D31D4"/>
    <w:rsid w:val="002D5EFB"/>
    <w:rsid w:val="00301D7D"/>
    <w:rsid w:val="00302F20"/>
    <w:rsid w:val="003151A2"/>
    <w:rsid w:val="00316A02"/>
    <w:rsid w:val="0032363C"/>
    <w:rsid w:val="00323E14"/>
    <w:rsid w:val="0033138A"/>
    <w:rsid w:val="0033368D"/>
    <w:rsid w:val="003346CD"/>
    <w:rsid w:val="003348A0"/>
    <w:rsid w:val="00344D40"/>
    <w:rsid w:val="00346021"/>
    <w:rsid w:val="0035476C"/>
    <w:rsid w:val="003615B4"/>
    <w:rsid w:val="00390EA3"/>
    <w:rsid w:val="0039172C"/>
    <w:rsid w:val="00392774"/>
    <w:rsid w:val="00393CF3"/>
    <w:rsid w:val="00396609"/>
    <w:rsid w:val="003A1482"/>
    <w:rsid w:val="003A1FC5"/>
    <w:rsid w:val="003B7D75"/>
    <w:rsid w:val="003C06B0"/>
    <w:rsid w:val="003D5C9C"/>
    <w:rsid w:val="003D78DD"/>
    <w:rsid w:val="003E683F"/>
    <w:rsid w:val="003F466B"/>
    <w:rsid w:val="003F585E"/>
    <w:rsid w:val="00401A29"/>
    <w:rsid w:val="0040290A"/>
    <w:rsid w:val="00402D23"/>
    <w:rsid w:val="0040484E"/>
    <w:rsid w:val="004103A7"/>
    <w:rsid w:val="004218D2"/>
    <w:rsid w:val="004368EB"/>
    <w:rsid w:val="00442DFF"/>
    <w:rsid w:val="00442F71"/>
    <w:rsid w:val="00455A0D"/>
    <w:rsid w:val="00461365"/>
    <w:rsid w:val="00464093"/>
    <w:rsid w:val="00486698"/>
    <w:rsid w:val="00487D27"/>
    <w:rsid w:val="00492BBF"/>
    <w:rsid w:val="00496243"/>
    <w:rsid w:val="004A323B"/>
    <w:rsid w:val="004A588A"/>
    <w:rsid w:val="004A6BEC"/>
    <w:rsid w:val="004A6E39"/>
    <w:rsid w:val="004B39F7"/>
    <w:rsid w:val="004D4731"/>
    <w:rsid w:val="004D4F1F"/>
    <w:rsid w:val="004E1D0B"/>
    <w:rsid w:val="004E4133"/>
    <w:rsid w:val="004E607A"/>
    <w:rsid w:val="004F179C"/>
    <w:rsid w:val="00501217"/>
    <w:rsid w:val="00512E8E"/>
    <w:rsid w:val="005131B9"/>
    <w:rsid w:val="00525EB5"/>
    <w:rsid w:val="005400DE"/>
    <w:rsid w:val="00547E8D"/>
    <w:rsid w:val="0055134E"/>
    <w:rsid w:val="00573DCD"/>
    <w:rsid w:val="00574C05"/>
    <w:rsid w:val="00584508"/>
    <w:rsid w:val="00585415"/>
    <w:rsid w:val="00585ED3"/>
    <w:rsid w:val="005864CA"/>
    <w:rsid w:val="00586C0D"/>
    <w:rsid w:val="005A19EB"/>
    <w:rsid w:val="005A7A86"/>
    <w:rsid w:val="005A7DF0"/>
    <w:rsid w:val="005B00FD"/>
    <w:rsid w:val="005B0BC8"/>
    <w:rsid w:val="005B6AAD"/>
    <w:rsid w:val="005B7490"/>
    <w:rsid w:val="005D3985"/>
    <w:rsid w:val="005D5C8B"/>
    <w:rsid w:val="005E12C8"/>
    <w:rsid w:val="005E2EB5"/>
    <w:rsid w:val="005E4DC7"/>
    <w:rsid w:val="005E6AA5"/>
    <w:rsid w:val="005F2EB8"/>
    <w:rsid w:val="005F78DA"/>
    <w:rsid w:val="006016A3"/>
    <w:rsid w:val="00602B74"/>
    <w:rsid w:val="00602DE0"/>
    <w:rsid w:val="006047F4"/>
    <w:rsid w:val="006177AA"/>
    <w:rsid w:val="006223CD"/>
    <w:rsid w:val="00625B89"/>
    <w:rsid w:val="0062782C"/>
    <w:rsid w:val="00630FE0"/>
    <w:rsid w:val="0063449C"/>
    <w:rsid w:val="00640E5B"/>
    <w:rsid w:val="00643FBB"/>
    <w:rsid w:val="006640D1"/>
    <w:rsid w:val="00665930"/>
    <w:rsid w:val="0066674C"/>
    <w:rsid w:val="00666FC9"/>
    <w:rsid w:val="00673430"/>
    <w:rsid w:val="006813C2"/>
    <w:rsid w:val="0069408D"/>
    <w:rsid w:val="006A71FA"/>
    <w:rsid w:val="006C2557"/>
    <w:rsid w:val="006C646E"/>
    <w:rsid w:val="006D1FB8"/>
    <w:rsid w:val="006E2C39"/>
    <w:rsid w:val="006E6452"/>
    <w:rsid w:val="006E7571"/>
    <w:rsid w:val="006F2340"/>
    <w:rsid w:val="006F523A"/>
    <w:rsid w:val="0071362D"/>
    <w:rsid w:val="00721653"/>
    <w:rsid w:val="007232F0"/>
    <w:rsid w:val="00745B6C"/>
    <w:rsid w:val="00772A79"/>
    <w:rsid w:val="00774837"/>
    <w:rsid w:val="00776239"/>
    <w:rsid w:val="00784342"/>
    <w:rsid w:val="007923DC"/>
    <w:rsid w:val="00795F8B"/>
    <w:rsid w:val="007B1971"/>
    <w:rsid w:val="007C488C"/>
    <w:rsid w:val="00802F89"/>
    <w:rsid w:val="00810178"/>
    <w:rsid w:val="00812EB0"/>
    <w:rsid w:val="00814932"/>
    <w:rsid w:val="00814FF2"/>
    <w:rsid w:val="00817642"/>
    <w:rsid w:val="0082490D"/>
    <w:rsid w:val="008279F0"/>
    <w:rsid w:val="008305A8"/>
    <w:rsid w:val="00830D48"/>
    <w:rsid w:val="0083308E"/>
    <w:rsid w:val="00834F69"/>
    <w:rsid w:val="00842C32"/>
    <w:rsid w:val="0084566E"/>
    <w:rsid w:val="00847475"/>
    <w:rsid w:val="0084757C"/>
    <w:rsid w:val="0085336E"/>
    <w:rsid w:val="00857BE5"/>
    <w:rsid w:val="0086165A"/>
    <w:rsid w:val="00874CE3"/>
    <w:rsid w:val="008760C4"/>
    <w:rsid w:val="0087692E"/>
    <w:rsid w:val="00880D54"/>
    <w:rsid w:val="008861E8"/>
    <w:rsid w:val="008B1696"/>
    <w:rsid w:val="008B25BE"/>
    <w:rsid w:val="008B53FA"/>
    <w:rsid w:val="008D00ED"/>
    <w:rsid w:val="008D7252"/>
    <w:rsid w:val="008F24CF"/>
    <w:rsid w:val="008F5442"/>
    <w:rsid w:val="008F7C42"/>
    <w:rsid w:val="00901708"/>
    <w:rsid w:val="00913B3F"/>
    <w:rsid w:val="00921D97"/>
    <w:rsid w:val="0092615C"/>
    <w:rsid w:val="00936F28"/>
    <w:rsid w:val="009531B9"/>
    <w:rsid w:val="00954FB9"/>
    <w:rsid w:val="009600B5"/>
    <w:rsid w:val="00966B21"/>
    <w:rsid w:val="009670CC"/>
    <w:rsid w:val="00980057"/>
    <w:rsid w:val="0098376B"/>
    <w:rsid w:val="00993BE0"/>
    <w:rsid w:val="00996126"/>
    <w:rsid w:val="00996524"/>
    <w:rsid w:val="00997CBA"/>
    <w:rsid w:val="009A1B07"/>
    <w:rsid w:val="009A2197"/>
    <w:rsid w:val="009A258A"/>
    <w:rsid w:val="009A42B4"/>
    <w:rsid w:val="009B01C2"/>
    <w:rsid w:val="009B1D65"/>
    <w:rsid w:val="009B36EB"/>
    <w:rsid w:val="009C5A41"/>
    <w:rsid w:val="009C66A7"/>
    <w:rsid w:val="009D0691"/>
    <w:rsid w:val="009D07F7"/>
    <w:rsid w:val="009D667C"/>
    <w:rsid w:val="009F3504"/>
    <w:rsid w:val="00A010F6"/>
    <w:rsid w:val="00A12D1A"/>
    <w:rsid w:val="00A142B1"/>
    <w:rsid w:val="00A17841"/>
    <w:rsid w:val="00A2170A"/>
    <w:rsid w:val="00A33746"/>
    <w:rsid w:val="00A47776"/>
    <w:rsid w:val="00A528B5"/>
    <w:rsid w:val="00A552BE"/>
    <w:rsid w:val="00A6711F"/>
    <w:rsid w:val="00A71F45"/>
    <w:rsid w:val="00A76B34"/>
    <w:rsid w:val="00A805ED"/>
    <w:rsid w:val="00A830B1"/>
    <w:rsid w:val="00A838A7"/>
    <w:rsid w:val="00A87EF6"/>
    <w:rsid w:val="00A9688F"/>
    <w:rsid w:val="00AA11BD"/>
    <w:rsid w:val="00AB0F77"/>
    <w:rsid w:val="00AB47CC"/>
    <w:rsid w:val="00AC1C62"/>
    <w:rsid w:val="00AC7244"/>
    <w:rsid w:val="00AC781D"/>
    <w:rsid w:val="00AF20F6"/>
    <w:rsid w:val="00AF214D"/>
    <w:rsid w:val="00B02F88"/>
    <w:rsid w:val="00B07F2E"/>
    <w:rsid w:val="00B11274"/>
    <w:rsid w:val="00B22042"/>
    <w:rsid w:val="00B302F6"/>
    <w:rsid w:val="00B464C8"/>
    <w:rsid w:val="00B476BA"/>
    <w:rsid w:val="00B507D1"/>
    <w:rsid w:val="00B56665"/>
    <w:rsid w:val="00B57544"/>
    <w:rsid w:val="00B66687"/>
    <w:rsid w:val="00B708A4"/>
    <w:rsid w:val="00B73238"/>
    <w:rsid w:val="00B739D9"/>
    <w:rsid w:val="00B90DB0"/>
    <w:rsid w:val="00B90FCF"/>
    <w:rsid w:val="00B91E09"/>
    <w:rsid w:val="00BA6CCD"/>
    <w:rsid w:val="00BB386A"/>
    <w:rsid w:val="00BB7DFD"/>
    <w:rsid w:val="00BC7B5C"/>
    <w:rsid w:val="00BD36B5"/>
    <w:rsid w:val="00BE5564"/>
    <w:rsid w:val="00C0177D"/>
    <w:rsid w:val="00C055B0"/>
    <w:rsid w:val="00C07E23"/>
    <w:rsid w:val="00C179BB"/>
    <w:rsid w:val="00C22E93"/>
    <w:rsid w:val="00C270D4"/>
    <w:rsid w:val="00C42B0B"/>
    <w:rsid w:val="00C64667"/>
    <w:rsid w:val="00C7168F"/>
    <w:rsid w:val="00C80ED4"/>
    <w:rsid w:val="00C8752F"/>
    <w:rsid w:val="00C90500"/>
    <w:rsid w:val="00C913C0"/>
    <w:rsid w:val="00C941FF"/>
    <w:rsid w:val="00CA1AB8"/>
    <w:rsid w:val="00CA4AFD"/>
    <w:rsid w:val="00CB1084"/>
    <w:rsid w:val="00CB4187"/>
    <w:rsid w:val="00CB44C0"/>
    <w:rsid w:val="00CB6E32"/>
    <w:rsid w:val="00CC3832"/>
    <w:rsid w:val="00CD29C0"/>
    <w:rsid w:val="00CE002D"/>
    <w:rsid w:val="00CE1494"/>
    <w:rsid w:val="00CE3180"/>
    <w:rsid w:val="00CE5A0A"/>
    <w:rsid w:val="00D059C3"/>
    <w:rsid w:val="00D11993"/>
    <w:rsid w:val="00D32077"/>
    <w:rsid w:val="00D403A1"/>
    <w:rsid w:val="00D43BA7"/>
    <w:rsid w:val="00D572AB"/>
    <w:rsid w:val="00D708C2"/>
    <w:rsid w:val="00D7507F"/>
    <w:rsid w:val="00D83337"/>
    <w:rsid w:val="00D86880"/>
    <w:rsid w:val="00D92F3B"/>
    <w:rsid w:val="00D956F6"/>
    <w:rsid w:val="00DA0C91"/>
    <w:rsid w:val="00DA172B"/>
    <w:rsid w:val="00DA1DA2"/>
    <w:rsid w:val="00DA4B16"/>
    <w:rsid w:val="00DA5A60"/>
    <w:rsid w:val="00DB02A3"/>
    <w:rsid w:val="00DB261B"/>
    <w:rsid w:val="00DC182A"/>
    <w:rsid w:val="00DC24B8"/>
    <w:rsid w:val="00DC3B83"/>
    <w:rsid w:val="00DD22DB"/>
    <w:rsid w:val="00DD354C"/>
    <w:rsid w:val="00DD53F6"/>
    <w:rsid w:val="00DE3290"/>
    <w:rsid w:val="00DF126F"/>
    <w:rsid w:val="00DF20E3"/>
    <w:rsid w:val="00E0052B"/>
    <w:rsid w:val="00E117E2"/>
    <w:rsid w:val="00E12A16"/>
    <w:rsid w:val="00E20D9E"/>
    <w:rsid w:val="00E2168A"/>
    <w:rsid w:val="00E2646F"/>
    <w:rsid w:val="00E437E8"/>
    <w:rsid w:val="00E45506"/>
    <w:rsid w:val="00E46945"/>
    <w:rsid w:val="00E50382"/>
    <w:rsid w:val="00E66658"/>
    <w:rsid w:val="00E84653"/>
    <w:rsid w:val="00E8503D"/>
    <w:rsid w:val="00E96913"/>
    <w:rsid w:val="00EA531C"/>
    <w:rsid w:val="00EB1597"/>
    <w:rsid w:val="00EB7AB5"/>
    <w:rsid w:val="00EE7787"/>
    <w:rsid w:val="00EF53A2"/>
    <w:rsid w:val="00EF6F35"/>
    <w:rsid w:val="00F05C55"/>
    <w:rsid w:val="00F14714"/>
    <w:rsid w:val="00F14D03"/>
    <w:rsid w:val="00F24C01"/>
    <w:rsid w:val="00F30225"/>
    <w:rsid w:val="00F35FA2"/>
    <w:rsid w:val="00F41761"/>
    <w:rsid w:val="00F41ACB"/>
    <w:rsid w:val="00F52699"/>
    <w:rsid w:val="00F57C8E"/>
    <w:rsid w:val="00F60C4A"/>
    <w:rsid w:val="00F80FA6"/>
    <w:rsid w:val="00F828B3"/>
    <w:rsid w:val="00F87B30"/>
    <w:rsid w:val="00FA01B4"/>
    <w:rsid w:val="00FA740B"/>
    <w:rsid w:val="00FB284E"/>
    <w:rsid w:val="00FB73E9"/>
    <w:rsid w:val="00FB787D"/>
    <w:rsid w:val="00FC234E"/>
    <w:rsid w:val="00FC3146"/>
    <w:rsid w:val="00FC4241"/>
    <w:rsid w:val="00FC4C9A"/>
    <w:rsid w:val="00FD6E25"/>
    <w:rsid w:val="00FE0706"/>
    <w:rsid w:val="00FE377D"/>
    <w:rsid w:val="00FF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0CC"/>
    <w:rPr>
      <w:rFonts w:ascii="Tahoma" w:hAnsi="Tahoma"/>
    </w:rPr>
  </w:style>
  <w:style w:type="paragraph" w:styleId="Heading1">
    <w:name w:val="heading 1"/>
    <w:basedOn w:val="Normal"/>
    <w:link w:val="Heading1Char"/>
    <w:uiPriority w:val="9"/>
    <w:qFormat/>
    <w:rsid w:val="000B5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401A29"/>
    <w:pPr>
      <w:keepNext/>
      <w:spacing w:before="240" w:after="240" w:line="240" w:lineRule="auto"/>
      <w:outlineLvl w:val="1"/>
    </w:pPr>
    <w:rPr>
      <w:rFonts w:eastAsia="Times New Roman" w:cs="Times New Roman"/>
      <w:b/>
      <w:color w:val="FF330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834F69"/>
    <w:pPr>
      <w:spacing w:after="240" w:line="240" w:lineRule="auto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014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B58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4F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2A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B44C0"/>
    <w:rPr>
      <w:rFonts w:ascii="Tahoma" w:hAnsi="Tahoma"/>
    </w:rPr>
  </w:style>
  <w:style w:type="paragraph" w:styleId="NoSpacing">
    <w:name w:val="No Spacing"/>
    <w:uiPriority w:val="1"/>
    <w:qFormat/>
    <w:rsid w:val="006E6452"/>
    <w:pPr>
      <w:spacing w:after="0" w:line="240" w:lineRule="auto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jcq.org.uk/exams-office/post-results-service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cq.org.uk/exams-office/post-results-servic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jcq.org.uk/exams-office/post-results-servic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qa.org.uk/exams-administration/after-results/post-results/copy-of-marked-pap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cq.org.uk/exams-office/post-results-services/" TargetMode="External"/><Relationship Id="rId10" Type="http://schemas.openxmlformats.org/officeDocument/2006/relationships/hyperlink" Target="https://www.jcq.org.uk/exams-office/post-results-service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aqa.org.uk/exams-administration/after-results/post-results/copy-of-marked-pa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717DB-329B-44EA-BE6E-29794998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Tony Craven</cp:lastModifiedBy>
  <cp:revision>4</cp:revision>
  <cp:lastPrinted>2025-07-03T06:27:00Z</cp:lastPrinted>
  <dcterms:created xsi:type="dcterms:W3CDTF">2025-07-03T05:47:00Z</dcterms:created>
  <dcterms:modified xsi:type="dcterms:W3CDTF">2025-07-03T06:30:00Z</dcterms:modified>
</cp:coreProperties>
</file>