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C3D" w:rsidRDefault="004F41DE" w:rsidP="004F41DE">
      <w:pPr>
        <w:tabs>
          <w:tab w:val="left" w:pos="2220"/>
          <w:tab w:val="left" w:pos="3135"/>
          <w:tab w:val="center" w:pos="4513"/>
        </w:tabs>
      </w:pPr>
      <w:r>
        <w:tab/>
      </w:r>
      <w:r>
        <w:tab/>
      </w:r>
    </w:p>
    <w:p w:rsidR="00175C3D" w:rsidRDefault="004F41DE" w:rsidP="004F41DE">
      <w:pPr>
        <w:tabs>
          <w:tab w:val="left" w:pos="2220"/>
        </w:tabs>
        <w:jc w:val="center"/>
        <w:rPr>
          <w:color w:val="2E74B5" w:themeColor="accent5" w:themeShade="BF"/>
          <w:sz w:val="96"/>
          <w:szCs w:val="96"/>
        </w:rPr>
      </w:pPr>
      <w:r>
        <w:rPr>
          <w:noProof/>
        </w:rPr>
        <w:drawing>
          <wp:anchor distT="0" distB="0" distL="114300" distR="114300" simplePos="0" relativeHeight="251659264" behindDoc="1" locked="0" layoutInCell="1" allowOverlap="1">
            <wp:simplePos x="0" y="0"/>
            <wp:positionH relativeFrom="margin">
              <wp:align>center</wp:align>
            </wp:positionH>
            <wp:positionV relativeFrom="page">
              <wp:posOffset>2847975</wp:posOffset>
            </wp:positionV>
            <wp:extent cx="3200400" cy="1555067"/>
            <wp:effectExtent l="0" t="0" r="0" b="7620"/>
            <wp:wrapNone/>
            <wp:docPr id="9" name="Picture 8">
              <a:extLst xmlns:a="http://schemas.openxmlformats.org/drawingml/2006/main">
                <a:ext uri="{FF2B5EF4-FFF2-40B4-BE49-F238E27FC236}">
                  <a16:creationId xmlns:a16="http://schemas.microsoft.com/office/drawing/2014/main" id="{703B06F8-A811-44AB-A149-1B207516D7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03B06F8-A811-44AB-A149-1B207516D7B2}"/>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200400" cy="1555067"/>
                    </a:xfrm>
                    <a:prstGeom prst="rect">
                      <a:avLst/>
                    </a:prstGeom>
                  </pic:spPr>
                </pic:pic>
              </a:graphicData>
            </a:graphic>
            <wp14:sizeRelH relativeFrom="margin">
              <wp14:pctWidth>0</wp14:pctWidth>
            </wp14:sizeRelH>
            <wp14:sizeRelV relativeFrom="margin">
              <wp14:pctHeight>0</wp14:pctHeight>
            </wp14:sizeRelV>
          </wp:anchor>
        </w:drawing>
      </w:r>
      <w:r w:rsidR="009123D8">
        <w:rPr>
          <w:color w:val="2E74B5" w:themeColor="accent5" w:themeShade="BF"/>
          <w:sz w:val="96"/>
          <w:szCs w:val="96"/>
        </w:rPr>
        <w:t>St Gabriel’s R.C. High School</w:t>
      </w:r>
    </w:p>
    <w:p w:rsidR="004F41DE" w:rsidRDefault="004F41DE">
      <w:pPr>
        <w:tabs>
          <w:tab w:val="left" w:pos="2220"/>
        </w:tabs>
        <w:jc w:val="center"/>
        <w:rPr>
          <w:color w:val="2E74B5" w:themeColor="accent5" w:themeShade="BF"/>
          <w:sz w:val="96"/>
          <w:szCs w:val="96"/>
        </w:rPr>
      </w:pPr>
    </w:p>
    <w:p w:rsidR="004F41DE" w:rsidRDefault="004F41DE">
      <w:pPr>
        <w:tabs>
          <w:tab w:val="left" w:pos="2220"/>
        </w:tabs>
        <w:jc w:val="center"/>
        <w:rPr>
          <w:color w:val="2E74B5" w:themeColor="accent5" w:themeShade="BF"/>
          <w:sz w:val="96"/>
          <w:szCs w:val="96"/>
        </w:rPr>
      </w:pPr>
    </w:p>
    <w:p w:rsidR="00175C3D" w:rsidRDefault="009123D8">
      <w:pPr>
        <w:tabs>
          <w:tab w:val="left" w:pos="2220"/>
        </w:tabs>
        <w:jc w:val="center"/>
        <w:rPr>
          <w:color w:val="2E74B5" w:themeColor="accent5" w:themeShade="BF"/>
          <w:sz w:val="96"/>
          <w:szCs w:val="96"/>
        </w:rPr>
      </w:pPr>
      <w:r>
        <w:rPr>
          <w:color w:val="2E74B5" w:themeColor="accent5" w:themeShade="BF"/>
          <w:sz w:val="96"/>
          <w:szCs w:val="96"/>
        </w:rPr>
        <w:t>Provider Access Policy Statement</w:t>
      </w:r>
    </w:p>
    <w:p w:rsidR="004F41DE" w:rsidRPr="00595632" w:rsidRDefault="004F41DE" w:rsidP="004F41DE">
      <w:pPr>
        <w:ind w:left="1579" w:right="1459"/>
        <w:jc w:val="center"/>
        <w:rPr>
          <w:rFonts w:ascii="Tahoma" w:hAnsi="Tahoma" w:cs="Tahoma"/>
          <w:b/>
          <w:sz w:val="28"/>
        </w:rPr>
      </w:pPr>
      <w:r w:rsidRPr="00595632">
        <w:rPr>
          <w:rFonts w:ascii="Tahoma" w:hAnsi="Tahoma" w:cs="Tahoma"/>
          <w:b/>
          <w:color w:val="001F5F"/>
          <w:sz w:val="28"/>
          <w:u w:val="single" w:color="001F5F"/>
        </w:rPr>
        <w:t>Our</w:t>
      </w:r>
      <w:r w:rsidRPr="00595632">
        <w:rPr>
          <w:rFonts w:ascii="Tahoma" w:hAnsi="Tahoma" w:cs="Tahoma"/>
          <w:b/>
          <w:color w:val="001F5F"/>
          <w:spacing w:val="-3"/>
          <w:sz w:val="28"/>
          <w:u w:val="single" w:color="001F5F"/>
        </w:rPr>
        <w:t xml:space="preserve"> </w:t>
      </w:r>
      <w:r w:rsidRPr="00595632">
        <w:rPr>
          <w:rFonts w:ascii="Tahoma" w:hAnsi="Tahoma" w:cs="Tahoma"/>
          <w:b/>
          <w:color w:val="001F5F"/>
          <w:sz w:val="28"/>
          <w:u w:val="single" w:color="001F5F"/>
        </w:rPr>
        <w:t>Mission</w:t>
      </w:r>
      <w:r w:rsidRPr="00595632">
        <w:rPr>
          <w:rFonts w:ascii="Tahoma" w:hAnsi="Tahoma" w:cs="Tahoma"/>
          <w:b/>
          <w:color w:val="001F5F"/>
          <w:spacing w:val="-3"/>
          <w:sz w:val="28"/>
          <w:u w:val="single" w:color="001F5F"/>
        </w:rPr>
        <w:t xml:space="preserve"> </w:t>
      </w:r>
      <w:r w:rsidRPr="00595632">
        <w:rPr>
          <w:rFonts w:ascii="Tahoma" w:hAnsi="Tahoma" w:cs="Tahoma"/>
          <w:b/>
          <w:color w:val="001F5F"/>
          <w:spacing w:val="-2"/>
          <w:sz w:val="28"/>
          <w:u w:val="single" w:color="001F5F"/>
        </w:rPr>
        <w:t>Statement</w:t>
      </w:r>
    </w:p>
    <w:p w:rsidR="004F41DE" w:rsidRPr="00595632" w:rsidRDefault="004F41DE" w:rsidP="004F41DE">
      <w:pPr>
        <w:pStyle w:val="BodyText"/>
        <w:spacing w:before="103"/>
        <w:ind w:left="0"/>
        <w:rPr>
          <w:rFonts w:ascii="Tahoma" w:hAnsi="Tahoma" w:cs="Tahoma"/>
          <w:b/>
          <w:sz w:val="28"/>
        </w:rPr>
      </w:pPr>
    </w:p>
    <w:p w:rsidR="004F41DE" w:rsidRPr="00595632" w:rsidRDefault="004F41DE" w:rsidP="004F41DE">
      <w:pPr>
        <w:spacing w:before="1"/>
        <w:ind w:left="1314" w:right="1194" w:firstLine="1"/>
        <w:jc w:val="center"/>
        <w:rPr>
          <w:rFonts w:ascii="Tahoma" w:hAnsi="Tahoma" w:cs="Tahoma"/>
          <w:sz w:val="28"/>
        </w:rPr>
      </w:pPr>
      <w:r w:rsidRPr="00595632">
        <w:rPr>
          <w:rFonts w:ascii="Tahoma" w:hAnsi="Tahoma" w:cs="Tahoma"/>
          <w:color w:val="001F5F"/>
          <w:sz w:val="28"/>
        </w:rPr>
        <w:t xml:space="preserve">At St Gabriel’s, we are an </w:t>
      </w:r>
      <w:r w:rsidRPr="00595632">
        <w:rPr>
          <w:rFonts w:ascii="Tahoma" w:hAnsi="Tahoma" w:cs="Tahoma"/>
          <w:b/>
          <w:color w:val="001F5F"/>
          <w:sz w:val="28"/>
        </w:rPr>
        <w:t xml:space="preserve">inclusive Catholic family </w:t>
      </w:r>
      <w:r w:rsidRPr="00595632">
        <w:rPr>
          <w:rFonts w:ascii="Tahoma" w:hAnsi="Tahoma" w:cs="Tahoma"/>
          <w:color w:val="001F5F"/>
          <w:sz w:val="28"/>
        </w:rPr>
        <w:t xml:space="preserve">who embrace diverse identities, faiths and beliefs. We strive to use our God-given talents to </w:t>
      </w:r>
      <w:r w:rsidRPr="00595632">
        <w:rPr>
          <w:rFonts w:ascii="Tahoma" w:hAnsi="Tahoma" w:cs="Tahoma"/>
          <w:b/>
          <w:color w:val="001F5F"/>
          <w:sz w:val="28"/>
        </w:rPr>
        <w:t xml:space="preserve">serve </w:t>
      </w:r>
      <w:r w:rsidRPr="00595632">
        <w:rPr>
          <w:rFonts w:ascii="Tahoma" w:hAnsi="Tahoma" w:cs="Tahoma"/>
          <w:color w:val="001F5F"/>
          <w:sz w:val="28"/>
        </w:rPr>
        <w:t xml:space="preserve">others and to </w:t>
      </w:r>
      <w:r w:rsidRPr="00595632">
        <w:rPr>
          <w:rFonts w:ascii="Tahoma" w:hAnsi="Tahoma" w:cs="Tahoma"/>
          <w:b/>
          <w:color w:val="001F5F"/>
          <w:sz w:val="28"/>
        </w:rPr>
        <w:t>succeed</w:t>
      </w:r>
      <w:r w:rsidRPr="00595632">
        <w:rPr>
          <w:rFonts w:ascii="Tahoma" w:hAnsi="Tahoma" w:cs="Tahoma"/>
          <w:color w:val="001F5F"/>
          <w:sz w:val="28"/>
        </w:rPr>
        <w:t xml:space="preserve">. The Lord is our </w:t>
      </w:r>
      <w:r w:rsidRPr="00595632">
        <w:rPr>
          <w:rFonts w:ascii="Tahoma" w:hAnsi="Tahoma" w:cs="Tahoma"/>
          <w:b/>
          <w:color w:val="001F5F"/>
          <w:sz w:val="28"/>
        </w:rPr>
        <w:t>strength</w:t>
      </w:r>
      <w:r w:rsidRPr="00595632">
        <w:rPr>
          <w:rFonts w:ascii="Tahoma" w:hAnsi="Tahoma" w:cs="Tahoma"/>
          <w:color w:val="001F5F"/>
          <w:sz w:val="28"/>
        </w:rPr>
        <w:t>, which inspires us to make positive</w:t>
      </w:r>
      <w:r w:rsidRPr="00595632">
        <w:rPr>
          <w:rFonts w:ascii="Tahoma" w:hAnsi="Tahoma" w:cs="Tahoma"/>
          <w:color w:val="001F5F"/>
          <w:spacing w:val="-5"/>
          <w:sz w:val="28"/>
        </w:rPr>
        <w:t xml:space="preserve"> </w:t>
      </w:r>
      <w:r w:rsidRPr="00595632">
        <w:rPr>
          <w:rFonts w:ascii="Tahoma" w:hAnsi="Tahoma" w:cs="Tahoma"/>
          <w:color w:val="001F5F"/>
          <w:sz w:val="28"/>
        </w:rPr>
        <w:t>contributions</w:t>
      </w:r>
      <w:r w:rsidRPr="00595632">
        <w:rPr>
          <w:rFonts w:ascii="Tahoma" w:hAnsi="Tahoma" w:cs="Tahoma"/>
          <w:color w:val="001F5F"/>
          <w:spacing w:val="-2"/>
          <w:sz w:val="28"/>
        </w:rPr>
        <w:t xml:space="preserve"> </w:t>
      </w:r>
      <w:r w:rsidRPr="00595632">
        <w:rPr>
          <w:rFonts w:ascii="Tahoma" w:hAnsi="Tahoma" w:cs="Tahoma"/>
          <w:color w:val="001F5F"/>
          <w:sz w:val="28"/>
        </w:rPr>
        <w:t>to</w:t>
      </w:r>
      <w:r w:rsidRPr="00595632">
        <w:rPr>
          <w:rFonts w:ascii="Tahoma" w:hAnsi="Tahoma" w:cs="Tahoma"/>
          <w:color w:val="001F5F"/>
          <w:spacing w:val="-3"/>
          <w:sz w:val="28"/>
        </w:rPr>
        <w:t xml:space="preserve"> </w:t>
      </w:r>
      <w:r w:rsidRPr="00595632">
        <w:rPr>
          <w:rFonts w:ascii="Tahoma" w:hAnsi="Tahoma" w:cs="Tahoma"/>
          <w:color w:val="001F5F"/>
          <w:sz w:val="28"/>
        </w:rPr>
        <w:t>our</w:t>
      </w:r>
      <w:r w:rsidRPr="00595632">
        <w:rPr>
          <w:rFonts w:ascii="Tahoma" w:hAnsi="Tahoma" w:cs="Tahoma"/>
          <w:color w:val="001F5F"/>
          <w:spacing w:val="-3"/>
          <w:sz w:val="28"/>
        </w:rPr>
        <w:t xml:space="preserve"> </w:t>
      </w:r>
      <w:r w:rsidRPr="00595632">
        <w:rPr>
          <w:rFonts w:ascii="Tahoma" w:hAnsi="Tahoma" w:cs="Tahoma"/>
          <w:color w:val="001F5F"/>
          <w:sz w:val="28"/>
        </w:rPr>
        <w:t>school</w:t>
      </w:r>
      <w:r w:rsidRPr="00595632">
        <w:rPr>
          <w:rFonts w:ascii="Tahoma" w:hAnsi="Tahoma" w:cs="Tahoma"/>
          <w:color w:val="001F5F"/>
          <w:spacing w:val="-4"/>
          <w:sz w:val="28"/>
        </w:rPr>
        <w:t xml:space="preserve"> </w:t>
      </w:r>
      <w:r w:rsidRPr="00595632">
        <w:rPr>
          <w:rFonts w:ascii="Tahoma" w:hAnsi="Tahoma" w:cs="Tahoma"/>
          <w:color w:val="001F5F"/>
          <w:sz w:val="28"/>
        </w:rPr>
        <w:t>community</w:t>
      </w:r>
      <w:r w:rsidRPr="00595632">
        <w:rPr>
          <w:rFonts w:ascii="Tahoma" w:hAnsi="Tahoma" w:cs="Tahoma"/>
          <w:color w:val="001F5F"/>
          <w:spacing w:val="-5"/>
          <w:sz w:val="28"/>
        </w:rPr>
        <w:t xml:space="preserve"> </w:t>
      </w:r>
      <w:r w:rsidRPr="00595632">
        <w:rPr>
          <w:rFonts w:ascii="Tahoma" w:hAnsi="Tahoma" w:cs="Tahoma"/>
          <w:color w:val="001F5F"/>
          <w:sz w:val="28"/>
        </w:rPr>
        <w:t>and</w:t>
      </w:r>
      <w:r w:rsidRPr="00595632">
        <w:rPr>
          <w:rFonts w:ascii="Tahoma" w:hAnsi="Tahoma" w:cs="Tahoma"/>
          <w:color w:val="001F5F"/>
          <w:spacing w:val="-3"/>
          <w:sz w:val="28"/>
        </w:rPr>
        <w:t xml:space="preserve"> </w:t>
      </w:r>
      <w:r w:rsidRPr="00595632">
        <w:rPr>
          <w:rFonts w:ascii="Tahoma" w:hAnsi="Tahoma" w:cs="Tahoma"/>
          <w:color w:val="001F5F"/>
          <w:sz w:val="28"/>
        </w:rPr>
        <w:t>be</w:t>
      </w:r>
      <w:r w:rsidRPr="00595632">
        <w:rPr>
          <w:rFonts w:ascii="Tahoma" w:hAnsi="Tahoma" w:cs="Tahoma"/>
          <w:color w:val="001F5F"/>
          <w:spacing w:val="-5"/>
          <w:sz w:val="28"/>
        </w:rPr>
        <w:t xml:space="preserve"> </w:t>
      </w:r>
      <w:r w:rsidRPr="00595632">
        <w:rPr>
          <w:rFonts w:ascii="Tahoma" w:hAnsi="Tahoma" w:cs="Tahoma"/>
          <w:color w:val="001F5F"/>
          <w:sz w:val="28"/>
        </w:rPr>
        <w:t>valued</w:t>
      </w:r>
      <w:r w:rsidRPr="00595632">
        <w:rPr>
          <w:rFonts w:ascii="Tahoma" w:hAnsi="Tahoma" w:cs="Tahoma"/>
          <w:color w:val="001F5F"/>
          <w:spacing w:val="-1"/>
          <w:sz w:val="28"/>
        </w:rPr>
        <w:t xml:space="preserve"> </w:t>
      </w:r>
      <w:r w:rsidRPr="00595632">
        <w:rPr>
          <w:rFonts w:ascii="Tahoma" w:hAnsi="Tahoma" w:cs="Tahoma"/>
          <w:color w:val="001F5F"/>
          <w:sz w:val="28"/>
        </w:rPr>
        <w:t>members</w:t>
      </w:r>
      <w:r w:rsidRPr="00595632">
        <w:rPr>
          <w:rFonts w:ascii="Tahoma" w:hAnsi="Tahoma" w:cs="Tahoma"/>
          <w:color w:val="001F5F"/>
          <w:spacing w:val="-3"/>
          <w:sz w:val="28"/>
        </w:rPr>
        <w:t xml:space="preserve"> </w:t>
      </w:r>
      <w:r w:rsidRPr="00595632">
        <w:rPr>
          <w:rFonts w:ascii="Tahoma" w:hAnsi="Tahoma" w:cs="Tahoma"/>
          <w:color w:val="001F5F"/>
          <w:sz w:val="28"/>
        </w:rPr>
        <w:t>of</w:t>
      </w:r>
      <w:r w:rsidRPr="00595632">
        <w:rPr>
          <w:rFonts w:ascii="Tahoma" w:hAnsi="Tahoma" w:cs="Tahoma"/>
          <w:color w:val="001F5F"/>
          <w:spacing w:val="-4"/>
          <w:sz w:val="28"/>
        </w:rPr>
        <w:t xml:space="preserve"> </w:t>
      </w:r>
      <w:r w:rsidRPr="00595632">
        <w:rPr>
          <w:rFonts w:ascii="Tahoma" w:hAnsi="Tahoma" w:cs="Tahoma"/>
          <w:color w:val="001F5F"/>
          <w:sz w:val="28"/>
        </w:rPr>
        <w:t>our global society.</w:t>
      </w:r>
    </w:p>
    <w:p w:rsidR="004F41DE" w:rsidRDefault="004F41DE">
      <w:pPr>
        <w:tabs>
          <w:tab w:val="left" w:pos="2220"/>
        </w:tabs>
        <w:rPr>
          <w:b/>
        </w:rPr>
      </w:pPr>
    </w:p>
    <w:p w:rsidR="004F41DE" w:rsidRDefault="004F41DE">
      <w:pPr>
        <w:tabs>
          <w:tab w:val="left" w:pos="2220"/>
        </w:tabs>
        <w:rPr>
          <w:b/>
        </w:rPr>
      </w:pPr>
    </w:p>
    <w:p w:rsidR="004F41DE" w:rsidRDefault="004F41DE">
      <w:pPr>
        <w:tabs>
          <w:tab w:val="left" w:pos="2220"/>
        </w:tabs>
        <w:rPr>
          <w:b/>
        </w:rPr>
      </w:pPr>
    </w:p>
    <w:p w:rsidR="004F41DE" w:rsidRDefault="004F41DE">
      <w:pPr>
        <w:tabs>
          <w:tab w:val="left" w:pos="2220"/>
        </w:tabs>
        <w:rPr>
          <w:b/>
        </w:rPr>
      </w:pPr>
    </w:p>
    <w:p w:rsidR="00175C3D" w:rsidRDefault="009123D8">
      <w:pPr>
        <w:tabs>
          <w:tab w:val="left" w:pos="2220"/>
        </w:tabs>
        <w:rPr>
          <w:b/>
        </w:rPr>
      </w:pPr>
      <w:bookmarkStart w:id="0" w:name="_GoBack"/>
      <w:bookmarkEnd w:id="0"/>
      <w:r>
        <w:rPr>
          <w:b/>
        </w:rPr>
        <w:lastRenderedPageBreak/>
        <w:t>Provider Access Policy Statement</w:t>
      </w:r>
    </w:p>
    <w:p w:rsidR="00175C3D" w:rsidRDefault="009123D8" w:rsidP="004F41DE">
      <w:pPr>
        <w:tabs>
          <w:tab w:val="left" w:pos="2220"/>
        </w:tabs>
        <w:spacing w:after="0"/>
      </w:pPr>
      <w:r>
        <w:t xml:space="preserve">Under Section 42B of the Education Act 1997 and the Skills and Post-16 Education Act 2022 we have a duty to provide pupils in Years 8-13 with </w:t>
      </w:r>
      <w:r>
        <w:t>access to providers of post-14, post-16 and post-18 education and training. This policy statement sets out how we manage access requests from these providers.</w:t>
      </w:r>
      <w:r>
        <w:rPr>
          <w:b/>
        </w:rPr>
        <w:t>What are pupils entitled to?</w:t>
      </w:r>
      <w:r>
        <w:tab/>
      </w:r>
    </w:p>
    <w:p w:rsidR="00175C3D" w:rsidRDefault="00175C3D">
      <w:pPr>
        <w:tabs>
          <w:tab w:val="left" w:pos="2220"/>
          <w:tab w:val="left" w:pos="3630"/>
        </w:tabs>
        <w:spacing w:after="0"/>
      </w:pPr>
    </w:p>
    <w:p w:rsidR="00175C3D" w:rsidRDefault="009123D8">
      <w:pPr>
        <w:tabs>
          <w:tab w:val="left" w:pos="2220"/>
        </w:tabs>
        <w:spacing w:after="0"/>
      </w:pPr>
      <w:r>
        <w:t>Pupils in Years 8 to 11 are entitled to:</w:t>
      </w:r>
    </w:p>
    <w:p w:rsidR="00175C3D" w:rsidRDefault="00175C3D">
      <w:pPr>
        <w:tabs>
          <w:tab w:val="left" w:pos="2220"/>
        </w:tabs>
        <w:spacing w:after="0"/>
      </w:pPr>
    </w:p>
    <w:p w:rsidR="00175C3D" w:rsidRDefault="009123D8">
      <w:pPr>
        <w:pStyle w:val="ListParagraph"/>
        <w:numPr>
          <w:ilvl w:val="0"/>
          <w:numId w:val="1"/>
        </w:numPr>
        <w:tabs>
          <w:tab w:val="left" w:pos="2220"/>
        </w:tabs>
        <w:spacing w:after="0"/>
      </w:pPr>
      <w:r>
        <w:t>Learn more about techni</w:t>
      </w:r>
      <w:r>
        <w:t>cal education qualifications and apprenticeship opportunities, as part of a careers programme which informs pupils of the full range of education and training options available to them at each transition point.</w:t>
      </w:r>
    </w:p>
    <w:p w:rsidR="00175C3D" w:rsidRDefault="009123D8">
      <w:pPr>
        <w:pStyle w:val="ListParagraph"/>
        <w:numPr>
          <w:ilvl w:val="0"/>
          <w:numId w:val="1"/>
        </w:numPr>
        <w:tabs>
          <w:tab w:val="left" w:pos="2220"/>
        </w:tabs>
        <w:spacing w:after="0"/>
      </w:pPr>
      <w:r>
        <w:t>Hear from a range of local providers about th</w:t>
      </w:r>
      <w:r>
        <w:t>e opportunities on offer, for example, technical education and apprenticeships – this can be achieved through options evenings, assemblies, group discussions, and taster events.</w:t>
      </w:r>
    </w:p>
    <w:p w:rsidR="00175C3D" w:rsidRDefault="009123D8">
      <w:pPr>
        <w:pStyle w:val="ListParagraph"/>
        <w:numPr>
          <w:ilvl w:val="0"/>
          <w:numId w:val="1"/>
        </w:numPr>
        <w:tabs>
          <w:tab w:val="left" w:pos="2220"/>
        </w:tabs>
        <w:spacing w:after="0"/>
      </w:pPr>
      <w:r>
        <w:t>Understand how to apply to the full range of academic and technical courses av</w:t>
      </w:r>
      <w:r>
        <w:t>ailable to them.</w:t>
      </w:r>
    </w:p>
    <w:p w:rsidR="00175C3D" w:rsidRDefault="00175C3D">
      <w:pPr>
        <w:pStyle w:val="ListParagraph"/>
        <w:tabs>
          <w:tab w:val="left" w:pos="2220"/>
        </w:tabs>
        <w:spacing w:after="0"/>
        <w:ind w:left="0"/>
      </w:pPr>
    </w:p>
    <w:p w:rsidR="00175C3D" w:rsidRDefault="009123D8">
      <w:pPr>
        <w:pStyle w:val="ListParagraph"/>
        <w:tabs>
          <w:tab w:val="left" w:pos="2220"/>
        </w:tabs>
        <w:spacing w:after="0"/>
        <w:ind w:left="0"/>
      </w:pPr>
      <w:r>
        <w:t>All pupils in Years 8 to 11 will receive at least four encounters with accredited providers of technical education and apprenticeships. These encounters will be divided accordingly:</w:t>
      </w:r>
    </w:p>
    <w:p w:rsidR="00175C3D" w:rsidRDefault="00175C3D">
      <w:pPr>
        <w:tabs>
          <w:tab w:val="left" w:pos="2220"/>
        </w:tabs>
        <w:spacing w:after="0"/>
      </w:pPr>
    </w:p>
    <w:p w:rsidR="00175C3D" w:rsidRDefault="009123D8">
      <w:pPr>
        <w:pStyle w:val="ListParagraph"/>
        <w:numPr>
          <w:ilvl w:val="0"/>
          <w:numId w:val="2"/>
        </w:numPr>
        <w:tabs>
          <w:tab w:val="left" w:pos="2220"/>
        </w:tabs>
        <w:spacing w:after="0"/>
      </w:pPr>
      <w:r>
        <w:t xml:space="preserve">During the first key phase (Year 8 to Year 9) all </w:t>
      </w:r>
      <w:r>
        <w:t>pupils must attend two mandatory sessions by accredited providers.</w:t>
      </w:r>
    </w:p>
    <w:p w:rsidR="00175C3D" w:rsidRDefault="009123D8">
      <w:pPr>
        <w:pStyle w:val="ListParagraph"/>
        <w:numPr>
          <w:ilvl w:val="0"/>
          <w:numId w:val="2"/>
        </w:numPr>
        <w:tabs>
          <w:tab w:val="left" w:pos="2220"/>
        </w:tabs>
        <w:spacing w:after="0"/>
      </w:pPr>
      <w:r>
        <w:t>During the second key phase (Year 10 and 11) all pupils must attend two mandatory sessions by accredited providers</w:t>
      </w:r>
    </w:p>
    <w:p w:rsidR="00175C3D" w:rsidRDefault="00175C3D">
      <w:pPr>
        <w:tabs>
          <w:tab w:val="left" w:pos="2220"/>
        </w:tabs>
        <w:spacing w:after="0"/>
      </w:pPr>
    </w:p>
    <w:p w:rsidR="00175C3D" w:rsidRDefault="009123D8">
      <w:pPr>
        <w:tabs>
          <w:tab w:val="left" w:pos="2220"/>
        </w:tabs>
        <w:spacing w:after="0"/>
      </w:pPr>
      <w:r>
        <w:rPr>
          <w:b/>
        </w:rPr>
        <w:t>Who handles our access requests?</w:t>
      </w:r>
      <w:r>
        <w:t xml:space="preserve"> </w:t>
      </w:r>
    </w:p>
    <w:p w:rsidR="00175C3D" w:rsidRDefault="009123D8">
      <w:pPr>
        <w:tabs>
          <w:tab w:val="left" w:pos="2220"/>
        </w:tabs>
        <w:spacing w:after="0"/>
      </w:pPr>
      <w:r>
        <w:t xml:space="preserve">Any provider wishing to request access </w:t>
      </w:r>
      <w:r>
        <w:t>should contact our careers leader, Mrs Nelson, on 0161 764 3186 or via email on: nelsonc@stgabrielshigh.stoccat.org.uk.</w:t>
      </w:r>
    </w:p>
    <w:p w:rsidR="00175C3D" w:rsidRDefault="00175C3D">
      <w:pPr>
        <w:tabs>
          <w:tab w:val="left" w:pos="2220"/>
        </w:tabs>
        <w:spacing w:after="0"/>
        <w:rPr>
          <w:b/>
        </w:rPr>
      </w:pPr>
    </w:p>
    <w:p w:rsidR="00175C3D" w:rsidRDefault="009123D8">
      <w:pPr>
        <w:tabs>
          <w:tab w:val="left" w:pos="2220"/>
        </w:tabs>
        <w:spacing w:after="0"/>
        <w:rPr>
          <w:b/>
        </w:rPr>
      </w:pPr>
      <w:r>
        <w:rPr>
          <w:b/>
        </w:rPr>
        <w:t>What opportunities are provided to allow access to pupils?</w:t>
      </w:r>
    </w:p>
    <w:p w:rsidR="00175C3D" w:rsidRDefault="00175C3D">
      <w:pPr>
        <w:tabs>
          <w:tab w:val="left" w:pos="2220"/>
        </w:tabs>
        <w:spacing w:after="0"/>
        <w:rPr>
          <w:b/>
        </w:rPr>
      </w:pPr>
    </w:p>
    <w:p w:rsidR="00175C3D" w:rsidRDefault="009123D8">
      <w:pPr>
        <w:tabs>
          <w:tab w:val="left" w:pos="2220"/>
        </w:tabs>
        <w:spacing w:after="0"/>
      </w:pPr>
      <w:r>
        <w:t>Via our school careers programme, we offer providers numerous opportunities</w:t>
      </w:r>
      <w:r>
        <w:t xml:space="preserve"> throughout the school year to speak to pupils and/or their parents.</w:t>
      </w:r>
    </w:p>
    <w:p w:rsidR="00175C3D" w:rsidRDefault="009123D8">
      <w:pPr>
        <w:tabs>
          <w:tab w:val="left" w:pos="2220"/>
        </w:tabs>
        <w:spacing w:after="0"/>
      </w:pPr>
      <w:r>
        <w:t>These sessions will be scheduled during the school’s main opening hours.</w:t>
      </w:r>
    </w:p>
    <w:p w:rsidR="00175C3D" w:rsidRDefault="009123D8">
      <w:pPr>
        <w:tabs>
          <w:tab w:val="left" w:pos="2220"/>
        </w:tabs>
        <w:spacing w:after="0"/>
      </w:pPr>
      <w:r>
        <w:t>The school offers at least four provider encounters that are legally required.</w:t>
      </w:r>
    </w:p>
    <w:p w:rsidR="00175C3D" w:rsidRDefault="00175C3D">
      <w:pPr>
        <w:tabs>
          <w:tab w:val="left" w:pos="2220"/>
        </w:tabs>
        <w:spacing w:after="0"/>
      </w:pPr>
    </w:p>
    <w:p w:rsidR="00175C3D" w:rsidRDefault="009123D8">
      <w:pPr>
        <w:tabs>
          <w:tab w:val="left" w:pos="2220"/>
        </w:tabs>
        <w:spacing w:after="0"/>
        <w:rPr>
          <w:b/>
        </w:rPr>
      </w:pPr>
      <w:r>
        <w:rPr>
          <w:b/>
        </w:rPr>
        <w:t>During these sessions, at a minimu</w:t>
      </w:r>
      <w:r>
        <w:rPr>
          <w:b/>
        </w:rPr>
        <w:t>m, providers will be given enough time to:</w:t>
      </w:r>
    </w:p>
    <w:p w:rsidR="00175C3D" w:rsidRDefault="00175C3D">
      <w:pPr>
        <w:tabs>
          <w:tab w:val="left" w:pos="2220"/>
        </w:tabs>
        <w:spacing w:after="0"/>
        <w:rPr>
          <w:b/>
        </w:rPr>
      </w:pPr>
    </w:p>
    <w:p w:rsidR="00175C3D" w:rsidRDefault="009123D8">
      <w:pPr>
        <w:pStyle w:val="ListParagraph"/>
        <w:numPr>
          <w:ilvl w:val="0"/>
          <w:numId w:val="5"/>
        </w:numPr>
        <w:tabs>
          <w:tab w:val="left" w:pos="2220"/>
        </w:tabs>
        <w:spacing w:after="0"/>
      </w:pPr>
      <w:r>
        <w:t>Share information about the provider and the approved technical qualifications and apprenticeships they offer.</w:t>
      </w:r>
    </w:p>
    <w:p w:rsidR="00175C3D" w:rsidRDefault="009123D8">
      <w:pPr>
        <w:pStyle w:val="ListParagraph"/>
        <w:numPr>
          <w:ilvl w:val="0"/>
          <w:numId w:val="5"/>
        </w:numPr>
        <w:tabs>
          <w:tab w:val="left" w:pos="2220"/>
        </w:tabs>
        <w:spacing w:after="0"/>
      </w:pPr>
      <w:r>
        <w:t>Explain what career routes these qualifications and apprenticeships could lead to.</w:t>
      </w:r>
    </w:p>
    <w:p w:rsidR="00175C3D" w:rsidRDefault="009123D8">
      <w:pPr>
        <w:pStyle w:val="ListParagraph"/>
        <w:numPr>
          <w:ilvl w:val="0"/>
          <w:numId w:val="5"/>
        </w:numPr>
        <w:tabs>
          <w:tab w:val="left" w:pos="2220"/>
        </w:tabs>
        <w:spacing w:after="0"/>
      </w:pPr>
      <w:r>
        <w:t>Provide insights i</w:t>
      </w:r>
      <w:r>
        <w:t>nto what it might be like to learn or train with that provider.</w:t>
      </w:r>
    </w:p>
    <w:p w:rsidR="00175C3D" w:rsidRDefault="009123D8">
      <w:pPr>
        <w:pStyle w:val="ListParagraph"/>
        <w:numPr>
          <w:ilvl w:val="0"/>
          <w:numId w:val="5"/>
        </w:numPr>
        <w:tabs>
          <w:tab w:val="left" w:pos="2220"/>
        </w:tabs>
        <w:spacing w:after="0"/>
      </w:pPr>
      <w:r>
        <w:t>Answer pupils’ questions.</w:t>
      </w:r>
    </w:p>
    <w:p w:rsidR="00175C3D" w:rsidRDefault="00175C3D">
      <w:pPr>
        <w:tabs>
          <w:tab w:val="left" w:pos="2220"/>
        </w:tabs>
        <w:spacing w:after="0"/>
      </w:pPr>
    </w:p>
    <w:p w:rsidR="00175C3D" w:rsidRDefault="009123D8">
      <w:pPr>
        <w:tabs>
          <w:tab w:val="left" w:pos="2220"/>
        </w:tabs>
        <w:spacing w:after="0"/>
        <w:rPr>
          <w:b/>
        </w:rPr>
      </w:pPr>
      <w:r>
        <w:rPr>
          <w:b/>
        </w:rPr>
        <w:t>Which providers have previously been invited to the school?</w:t>
      </w:r>
    </w:p>
    <w:p w:rsidR="00175C3D" w:rsidRDefault="009123D8">
      <w:pPr>
        <w:tabs>
          <w:tab w:val="left" w:pos="2220"/>
        </w:tabs>
        <w:spacing w:after="0"/>
      </w:pPr>
      <w:r>
        <w:t>In previous terms and academic years, the school has invited the following providers to speak</w:t>
      </w:r>
    </w:p>
    <w:p w:rsidR="00175C3D" w:rsidRDefault="009123D8">
      <w:pPr>
        <w:tabs>
          <w:tab w:val="left" w:pos="2220"/>
        </w:tabs>
        <w:spacing w:after="0"/>
      </w:pPr>
      <w:r>
        <w:t>to pupils:</w:t>
      </w:r>
    </w:p>
    <w:p w:rsidR="00175C3D" w:rsidRDefault="00175C3D">
      <w:pPr>
        <w:tabs>
          <w:tab w:val="left" w:pos="2220"/>
        </w:tabs>
        <w:spacing w:after="0"/>
      </w:pPr>
    </w:p>
    <w:p w:rsidR="00175C3D" w:rsidRDefault="009123D8">
      <w:pPr>
        <w:tabs>
          <w:tab w:val="left" w:pos="2220"/>
        </w:tabs>
        <w:spacing w:after="0"/>
      </w:pPr>
      <w:r>
        <w:tab/>
        <w:t>Holy Cross</w:t>
      </w:r>
    </w:p>
    <w:p w:rsidR="00175C3D" w:rsidRDefault="009123D8">
      <w:pPr>
        <w:tabs>
          <w:tab w:val="left" w:pos="2220"/>
        </w:tabs>
        <w:spacing w:after="0"/>
      </w:pPr>
      <w:r>
        <w:tab/>
        <w:t>Bury College</w:t>
      </w:r>
    </w:p>
    <w:p w:rsidR="00175C3D" w:rsidRDefault="009123D8">
      <w:pPr>
        <w:tabs>
          <w:tab w:val="left" w:pos="2220"/>
        </w:tabs>
        <w:spacing w:after="0"/>
      </w:pPr>
      <w:r>
        <w:tab/>
        <w:t>Bolton College</w:t>
      </w:r>
    </w:p>
    <w:p w:rsidR="00175C3D" w:rsidRDefault="009123D8">
      <w:pPr>
        <w:tabs>
          <w:tab w:val="left" w:pos="2220"/>
        </w:tabs>
        <w:spacing w:after="0"/>
      </w:pPr>
      <w:r>
        <w:tab/>
        <w:t>Manchester College</w:t>
      </w:r>
    </w:p>
    <w:p w:rsidR="00175C3D" w:rsidRDefault="009123D8">
      <w:pPr>
        <w:tabs>
          <w:tab w:val="left" w:pos="2220"/>
        </w:tabs>
        <w:spacing w:after="0"/>
      </w:pPr>
      <w:r>
        <w:tab/>
        <w:t>Myerscough College</w:t>
      </w:r>
    </w:p>
    <w:p w:rsidR="00175C3D" w:rsidRDefault="009123D8">
      <w:pPr>
        <w:tabs>
          <w:tab w:val="left" w:pos="2220"/>
        </w:tabs>
        <w:spacing w:after="0"/>
      </w:pPr>
      <w:r>
        <w:tab/>
        <w:t xml:space="preserve">Hopwood Hall </w:t>
      </w:r>
    </w:p>
    <w:p w:rsidR="00175C3D" w:rsidRDefault="00175C3D">
      <w:pPr>
        <w:tabs>
          <w:tab w:val="left" w:pos="2220"/>
        </w:tabs>
        <w:spacing w:after="0"/>
      </w:pPr>
    </w:p>
    <w:tbl>
      <w:tblPr>
        <w:tblStyle w:val="TableGrid"/>
        <w:tblW w:w="0" w:type="auto"/>
        <w:tblLook w:val="04A0" w:firstRow="1" w:lastRow="0" w:firstColumn="1" w:lastColumn="0" w:noHBand="0" w:noVBand="1"/>
      </w:tblPr>
      <w:tblGrid>
        <w:gridCol w:w="988"/>
        <w:gridCol w:w="2676"/>
        <w:gridCol w:w="2676"/>
        <w:gridCol w:w="2676"/>
      </w:tblGrid>
      <w:tr w:rsidR="00175C3D">
        <w:trPr>
          <w:trHeight w:val="269"/>
        </w:trPr>
        <w:tc>
          <w:tcPr>
            <w:tcW w:w="988" w:type="dxa"/>
          </w:tcPr>
          <w:p w:rsidR="00175C3D" w:rsidRDefault="00175C3D">
            <w:pPr>
              <w:tabs>
                <w:tab w:val="left" w:pos="2220"/>
              </w:tabs>
            </w:pPr>
          </w:p>
        </w:tc>
        <w:tc>
          <w:tcPr>
            <w:tcW w:w="2676" w:type="dxa"/>
          </w:tcPr>
          <w:p w:rsidR="00175C3D" w:rsidRDefault="009123D8">
            <w:pPr>
              <w:tabs>
                <w:tab w:val="left" w:pos="2220"/>
              </w:tabs>
              <w:jc w:val="center"/>
            </w:pPr>
            <w:r>
              <w:t>Term 1</w:t>
            </w:r>
          </w:p>
        </w:tc>
        <w:tc>
          <w:tcPr>
            <w:tcW w:w="2676" w:type="dxa"/>
          </w:tcPr>
          <w:p w:rsidR="00175C3D" w:rsidRDefault="009123D8">
            <w:pPr>
              <w:tabs>
                <w:tab w:val="left" w:pos="2220"/>
              </w:tabs>
              <w:jc w:val="center"/>
            </w:pPr>
            <w:r>
              <w:t>Term 2</w:t>
            </w:r>
          </w:p>
        </w:tc>
        <w:tc>
          <w:tcPr>
            <w:tcW w:w="2676" w:type="dxa"/>
          </w:tcPr>
          <w:p w:rsidR="00175C3D" w:rsidRDefault="009123D8">
            <w:pPr>
              <w:tabs>
                <w:tab w:val="left" w:pos="2220"/>
              </w:tabs>
              <w:jc w:val="center"/>
            </w:pPr>
            <w:r>
              <w:t>Term 3</w:t>
            </w:r>
          </w:p>
        </w:tc>
      </w:tr>
      <w:tr w:rsidR="00175C3D">
        <w:trPr>
          <w:trHeight w:val="269"/>
        </w:trPr>
        <w:tc>
          <w:tcPr>
            <w:tcW w:w="988" w:type="dxa"/>
          </w:tcPr>
          <w:p w:rsidR="00175C3D" w:rsidRDefault="009123D8">
            <w:pPr>
              <w:tabs>
                <w:tab w:val="left" w:pos="2220"/>
              </w:tabs>
            </w:pPr>
            <w:r>
              <w:t>Year 8</w:t>
            </w:r>
          </w:p>
        </w:tc>
        <w:tc>
          <w:tcPr>
            <w:tcW w:w="2676" w:type="dxa"/>
          </w:tcPr>
          <w:p w:rsidR="00175C3D" w:rsidRDefault="009123D8">
            <w:pPr>
              <w:tabs>
                <w:tab w:val="left" w:pos="2220"/>
              </w:tabs>
              <w:jc w:val="center"/>
            </w:pPr>
            <w:r>
              <w:t>National Apprenticeship Week</w:t>
            </w:r>
          </w:p>
          <w:p w:rsidR="00175C3D" w:rsidRDefault="009123D8">
            <w:pPr>
              <w:tabs>
                <w:tab w:val="left" w:pos="2220"/>
              </w:tabs>
              <w:jc w:val="center"/>
            </w:pPr>
            <w:r>
              <w:t>Careers Cafe</w:t>
            </w:r>
          </w:p>
        </w:tc>
        <w:tc>
          <w:tcPr>
            <w:tcW w:w="2676" w:type="dxa"/>
          </w:tcPr>
          <w:p w:rsidR="00175C3D" w:rsidRDefault="009123D8">
            <w:pPr>
              <w:tabs>
                <w:tab w:val="left" w:pos="2220"/>
              </w:tabs>
              <w:jc w:val="center"/>
            </w:pPr>
            <w:r>
              <w:t>National Careers Week</w:t>
            </w:r>
          </w:p>
          <w:p w:rsidR="00175C3D" w:rsidRDefault="009123D8">
            <w:pPr>
              <w:tabs>
                <w:tab w:val="left" w:pos="2220"/>
              </w:tabs>
              <w:jc w:val="center"/>
            </w:pPr>
            <w:r>
              <w:t>Careers Cafe</w:t>
            </w:r>
          </w:p>
        </w:tc>
        <w:tc>
          <w:tcPr>
            <w:tcW w:w="2676" w:type="dxa"/>
          </w:tcPr>
          <w:p w:rsidR="00175C3D" w:rsidRDefault="009123D8">
            <w:pPr>
              <w:tabs>
                <w:tab w:val="left" w:pos="2220"/>
              </w:tabs>
              <w:jc w:val="center"/>
            </w:pPr>
            <w:r>
              <w:t>Careers Cafe</w:t>
            </w:r>
          </w:p>
        </w:tc>
      </w:tr>
      <w:tr w:rsidR="00175C3D">
        <w:trPr>
          <w:trHeight w:val="269"/>
        </w:trPr>
        <w:tc>
          <w:tcPr>
            <w:tcW w:w="988" w:type="dxa"/>
          </w:tcPr>
          <w:p w:rsidR="00175C3D" w:rsidRDefault="009123D8">
            <w:pPr>
              <w:tabs>
                <w:tab w:val="left" w:pos="2220"/>
              </w:tabs>
            </w:pPr>
            <w:r>
              <w:t>Year 9</w:t>
            </w:r>
          </w:p>
        </w:tc>
        <w:tc>
          <w:tcPr>
            <w:tcW w:w="2676" w:type="dxa"/>
          </w:tcPr>
          <w:p w:rsidR="00175C3D" w:rsidRDefault="009123D8">
            <w:pPr>
              <w:tabs>
                <w:tab w:val="left" w:pos="2220"/>
              </w:tabs>
              <w:jc w:val="center"/>
            </w:pPr>
            <w:r>
              <w:t>National Apprenticeship Week</w:t>
            </w:r>
          </w:p>
          <w:p w:rsidR="00175C3D" w:rsidRDefault="009123D8">
            <w:pPr>
              <w:tabs>
                <w:tab w:val="left" w:pos="2220"/>
              </w:tabs>
              <w:jc w:val="center"/>
            </w:pPr>
            <w:r>
              <w:t>Careers Cafe</w:t>
            </w:r>
          </w:p>
        </w:tc>
        <w:tc>
          <w:tcPr>
            <w:tcW w:w="2676" w:type="dxa"/>
          </w:tcPr>
          <w:p w:rsidR="00175C3D" w:rsidRDefault="009123D8">
            <w:pPr>
              <w:tabs>
                <w:tab w:val="left" w:pos="2220"/>
              </w:tabs>
              <w:jc w:val="center"/>
            </w:pPr>
            <w:r>
              <w:t>National Careers Week</w:t>
            </w:r>
          </w:p>
          <w:p w:rsidR="00175C3D" w:rsidRDefault="009123D8">
            <w:pPr>
              <w:tabs>
                <w:tab w:val="left" w:pos="2220"/>
              </w:tabs>
              <w:jc w:val="center"/>
            </w:pPr>
            <w:r>
              <w:t>Options Evening</w:t>
            </w:r>
          </w:p>
          <w:p w:rsidR="00175C3D" w:rsidRDefault="009123D8">
            <w:pPr>
              <w:tabs>
                <w:tab w:val="left" w:pos="2220"/>
              </w:tabs>
              <w:jc w:val="center"/>
            </w:pPr>
            <w:r>
              <w:t>Careers Cafe</w:t>
            </w:r>
          </w:p>
        </w:tc>
        <w:tc>
          <w:tcPr>
            <w:tcW w:w="2676" w:type="dxa"/>
          </w:tcPr>
          <w:p w:rsidR="00175C3D" w:rsidRDefault="009123D8">
            <w:pPr>
              <w:ind w:firstLine="720"/>
            </w:pPr>
            <w:r>
              <w:t>Careers Fair</w:t>
            </w:r>
          </w:p>
          <w:p w:rsidR="00175C3D" w:rsidRDefault="009123D8">
            <w:pPr>
              <w:ind w:firstLine="720"/>
            </w:pPr>
            <w:r>
              <w:t>Careers Cafe</w:t>
            </w:r>
          </w:p>
        </w:tc>
      </w:tr>
      <w:tr w:rsidR="00175C3D">
        <w:trPr>
          <w:trHeight w:val="269"/>
        </w:trPr>
        <w:tc>
          <w:tcPr>
            <w:tcW w:w="988" w:type="dxa"/>
          </w:tcPr>
          <w:p w:rsidR="00175C3D" w:rsidRDefault="009123D8">
            <w:pPr>
              <w:tabs>
                <w:tab w:val="left" w:pos="2220"/>
              </w:tabs>
            </w:pPr>
            <w:r>
              <w:t>Year 10</w:t>
            </w:r>
          </w:p>
        </w:tc>
        <w:tc>
          <w:tcPr>
            <w:tcW w:w="2676" w:type="dxa"/>
          </w:tcPr>
          <w:p w:rsidR="00175C3D" w:rsidRDefault="009123D8">
            <w:pPr>
              <w:tabs>
                <w:tab w:val="left" w:pos="2220"/>
              </w:tabs>
              <w:jc w:val="center"/>
            </w:pPr>
            <w:r>
              <w:t>National Apprenticeship Week</w:t>
            </w:r>
          </w:p>
          <w:p w:rsidR="00175C3D" w:rsidRDefault="009123D8">
            <w:pPr>
              <w:tabs>
                <w:tab w:val="left" w:pos="2220"/>
              </w:tabs>
              <w:jc w:val="center"/>
            </w:pPr>
            <w:r>
              <w:t>Careers Cafe</w:t>
            </w:r>
          </w:p>
        </w:tc>
        <w:tc>
          <w:tcPr>
            <w:tcW w:w="2676" w:type="dxa"/>
          </w:tcPr>
          <w:p w:rsidR="00175C3D" w:rsidRDefault="009123D8">
            <w:pPr>
              <w:tabs>
                <w:tab w:val="left" w:pos="2220"/>
              </w:tabs>
              <w:jc w:val="center"/>
            </w:pPr>
            <w:r>
              <w:t>National Careers Week</w:t>
            </w:r>
          </w:p>
          <w:p w:rsidR="00175C3D" w:rsidRDefault="009123D8">
            <w:pPr>
              <w:tabs>
                <w:tab w:val="left" w:pos="2220"/>
              </w:tabs>
              <w:jc w:val="center"/>
            </w:pPr>
            <w:r>
              <w:t>Careers Cafe</w:t>
            </w:r>
          </w:p>
        </w:tc>
        <w:tc>
          <w:tcPr>
            <w:tcW w:w="2676" w:type="dxa"/>
          </w:tcPr>
          <w:p w:rsidR="00175C3D" w:rsidRDefault="009123D8">
            <w:pPr>
              <w:tabs>
                <w:tab w:val="left" w:pos="2220"/>
              </w:tabs>
              <w:jc w:val="center"/>
            </w:pPr>
            <w:r>
              <w:t>Work experience</w:t>
            </w:r>
          </w:p>
          <w:p w:rsidR="00175C3D" w:rsidRDefault="009123D8">
            <w:pPr>
              <w:tabs>
                <w:tab w:val="left" w:pos="2220"/>
              </w:tabs>
              <w:jc w:val="center"/>
            </w:pPr>
            <w:r>
              <w:t>Careers Café</w:t>
            </w:r>
          </w:p>
          <w:p w:rsidR="00175C3D" w:rsidRDefault="009123D8">
            <w:pPr>
              <w:tabs>
                <w:tab w:val="left" w:pos="2220"/>
              </w:tabs>
              <w:jc w:val="center"/>
            </w:pPr>
            <w:r>
              <w:t>Mock interview</w:t>
            </w:r>
          </w:p>
        </w:tc>
      </w:tr>
      <w:tr w:rsidR="00175C3D">
        <w:trPr>
          <w:trHeight w:val="269"/>
        </w:trPr>
        <w:tc>
          <w:tcPr>
            <w:tcW w:w="988" w:type="dxa"/>
          </w:tcPr>
          <w:p w:rsidR="00175C3D" w:rsidRDefault="009123D8">
            <w:pPr>
              <w:tabs>
                <w:tab w:val="left" w:pos="2220"/>
              </w:tabs>
            </w:pPr>
            <w:r>
              <w:t>Year 11</w:t>
            </w:r>
          </w:p>
        </w:tc>
        <w:tc>
          <w:tcPr>
            <w:tcW w:w="2676" w:type="dxa"/>
          </w:tcPr>
          <w:p w:rsidR="00175C3D" w:rsidRDefault="009123D8">
            <w:pPr>
              <w:jc w:val="center"/>
            </w:pPr>
            <w:r>
              <w:t>FE provider assemblies</w:t>
            </w:r>
          </w:p>
          <w:p w:rsidR="00175C3D" w:rsidRDefault="009123D8">
            <w:pPr>
              <w:jc w:val="center"/>
            </w:pPr>
            <w:r>
              <w:t xml:space="preserve">ASK </w:t>
            </w:r>
            <w:r>
              <w:t>presentation</w:t>
            </w:r>
          </w:p>
          <w:p w:rsidR="00175C3D" w:rsidRDefault="009123D8">
            <w:pPr>
              <w:jc w:val="center"/>
            </w:pPr>
            <w:r>
              <w:t>Careers Cafe</w:t>
            </w:r>
          </w:p>
        </w:tc>
        <w:tc>
          <w:tcPr>
            <w:tcW w:w="2676" w:type="dxa"/>
          </w:tcPr>
          <w:p w:rsidR="00175C3D" w:rsidRDefault="009123D8">
            <w:pPr>
              <w:tabs>
                <w:tab w:val="left" w:pos="2220"/>
              </w:tabs>
              <w:jc w:val="center"/>
            </w:pPr>
            <w:r>
              <w:t>National Careers Week</w:t>
            </w:r>
          </w:p>
          <w:p w:rsidR="00175C3D" w:rsidRDefault="009123D8">
            <w:pPr>
              <w:tabs>
                <w:tab w:val="left" w:pos="2220"/>
              </w:tabs>
              <w:jc w:val="center"/>
            </w:pPr>
            <w:r>
              <w:t>Careers Cafe</w:t>
            </w:r>
          </w:p>
        </w:tc>
        <w:tc>
          <w:tcPr>
            <w:tcW w:w="2676" w:type="dxa"/>
          </w:tcPr>
          <w:p w:rsidR="00175C3D" w:rsidRDefault="009123D8">
            <w:pPr>
              <w:tabs>
                <w:tab w:val="left" w:pos="2220"/>
              </w:tabs>
              <w:jc w:val="center"/>
            </w:pPr>
            <w:r>
              <w:t>NA</w:t>
            </w:r>
          </w:p>
        </w:tc>
      </w:tr>
    </w:tbl>
    <w:p w:rsidR="00175C3D" w:rsidRDefault="00175C3D">
      <w:pPr>
        <w:tabs>
          <w:tab w:val="left" w:pos="2220"/>
        </w:tabs>
        <w:spacing w:after="0"/>
      </w:pPr>
    </w:p>
    <w:p w:rsidR="00175C3D" w:rsidRDefault="00175C3D">
      <w:pPr>
        <w:tabs>
          <w:tab w:val="left" w:pos="2220"/>
        </w:tabs>
        <w:spacing w:after="0"/>
      </w:pPr>
    </w:p>
    <w:p w:rsidR="00175C3D" w:rsidRDefault="009123D8">
      <w:pPr>
        <w:tabs>
          <w:tab w:val="left" w:pos="2220"/>
        </w:tabs>
        <w:spacing w:after="0"/>
        <w:rPr>
          <w:b/>
        </w:rPr>
      </w:pPr>
      <w:r>
        <w:rPr>
          <w:b/>
        </w:rPr>
        <w:t xml:space="preserve">Who should providers contact to discuss events and options? </w:t>
      </w:r>
    </w:p>
    <w:p w:rsidR="00175C3D" w:rsidRDefault="00175C3D">
      <w:pPr>
        <w:tabs>
          <w:tab w:val="left" w:pos="2220"/>
        </w:tabs>
        <w:spacing w:after="0"/>
      </w:pPr>
    </w:p>
    <w:p w:rsidR="00175C3D" w:rsidRDefault="009123D8">
      <w:pPr>
        <w:tabs>
          <w:tab w:val="left" w:pos="2220"/>
        </w:tabs>
        <w:spacing w:after="0"/>
      </w:pPr>
      <w:r>
        <w:t>Providers can speak to our careers leader, Mr Killion, to discuss possible attendance at relevant events. Our Safeguarding Poli</w:t>
      </w:r>
      <w:r>
        <w:t>cy highlights the school’s approach to allowing providers into school to speak to our pupils.</w:t>
      </w:r>
    </w:p>
    <w:p w:rsidR="00175C3D" w:rsidRDefault="00175C3D">
      <w:pPr>
        <w:tabs>
          <w:tab w:val="left" w:pos="2220"/>
        </w:tabs>
        <w:spacing w:after="0"/>
      </w:pPr>
    </w:p>
    <w:p w:rsidR="00175C3D" w:rsidRDefault="00175C3D">
      <w:pPr>
        <w:tabs>
          <w:tab w:val="left" w:pos="2220"/>
        </w:tabs>
        <w:spacing w:after="0"/>
        <w:rPr>
          <w:b/>
        </w:rPr>
      </w:pPr>
    </w:p>
    <w:p w:rsidR="00175C3D" w:rsidRDefault="009123D8">
      <w:pPr>
        <w:tabs>
          <w:tab w:val="left" w:pos="2220"/>
        </w:tabs>
        <w:spacing w:after="0"/>
        <w:rPr>
          <w:b/>
        </w:rPr>
      </w:pPr>
      <w:r>
        <w:rPr>
          <w:b/>
        </w:rPr>
        <w:t xml:space="preserve">What are the rules for granting and refusing access requests? </w:t>
      </w:r>
    </w:p>
    <w:p w:rsidR="00175C3D" w:rsidRDefault="00175C3D">
      <w:pPr>
        <w:tabs>
          <w:tab w:val="left" w:pos="2220"/>
        </w:tabs>
        <w:spacing w:after="0"/>
        <w:rPr>
          <w:b/>
        </w:rPr>
      </w:pPr>
    </w:p>
    <w:p w:rsidR="00175C3D" w:rsidRDefault="009123D8">
      <w:pPr>
        <w:tabs>
          <w:tab w:val="left" w:pos="2220"/>
        </w:tabs>
        <w:spacing w:after="0"/>
      </w:pPr>
      <w:r>
        <w:t xml:space="preserve">We will grant access requests that meet the following criteria: </w:t>
      </w:r>
    </w:p>
    <w:p w:rsidR="00175C3D" w:rsidRDefault="00175C3D">
      <w:pPr>
        <w:tabs>
          <w:tab w:val="left" w:pos="2220"/>
        </w:tabs>
        <w:spacing w:after="0"/>
      </w:pPr>
    </w:p>
    <w:p w:rsidR="00175C3D" w:rsidRDefault="009123D8">
      <w:pPr>
        <w:pStyle w:val="ListParagraph"/>
        <w:numPr>
          <w:ilvl w:val="0"/>
          <w:numId w:val="3"/>
        </w:numPr>
        <w:tabs>
          <w:tab w:val="left" w:pos="2220"/>
        </w:tabs>
        <w:spacing w:after="0"/>
      </w:pPr>
      <w:r>
        <w:t xml:space="preserve">The encounter has information </w:t>
      </w:r>
      <w:r>
        <w:t>from and/or presentation which offers impartial careers advice.</w:t>
      </w:r>
    </w:p>
    <w:p w:rsidR="00175C3D" w:rsidRDefault="009123D8">
      <w:pPr>
        <w:pStyle w:val="ListParagraph"/>
        <w:numPr>
          <w:ilvl w:val="0"/>
          <w:numId w:val="3"/>
        </w:numPr>
        <w:tabs>
          <w:tab w:val="left" w:pos="2220"/>
        </w:tabs>
        <w:spacing w:after="0"/>
      </w:pPr>
      <w:r>
        <w:t xml:space="preserve">The encounter has information from and/or presentation that does not lead to major disruption of the schools academic timetable. </w:t>
      </w:r>
    </w:p>
    <w:p w:rsidR="00175C3D" w:rsidRDefault="009123D8">
      <w:pPr>
        <w:pStyle w:val="ListParagraph"/>
        <w:numPr>
          <w:ilvl w:val="0"/>
          <w:numId w:val="3"/>
        </w:numPr>
        <w:tabs>
          <w:tab w:val="left" w:pos="2220"/>
        </w:tabs>
        <w:spacing w:after="0"/>
      </w:pPr>
      <w:r>
        <w:t>The encounter provides an opportunity to learn about what work</w:t>
      </w:r>
      <w:r>
        <w:t xml:space="preserve"> is like or what it takes to be successful in the workplace. </w:t>
      </w:r>
    </w:p>
    <w:p w:rsidR="00175C3D" w:rsidRDefault="009123D8">
      <w:pPr>
        <w:pStyle w:val="ListParagraph"/>
        <w:numPr>
          <w:ilvl w:val="0"/>
          <w:numId w:val="3"/>
        </w:numPr>
        <w:tabs>
          <w:tab w:val="left" w:pos="2220"/>
        </w:tabs>
        <w:spacing w:after="0"/>
      </w:pPr>
      <w:r>
        <w:t>The encounter is requested to take place within a reasonable timescale.</w:t>
      </w:r>
    </w:p>
    <w:p w:rsidR="00175C3D" w:rsidRDefault="00175C3D">
      <w:pPr>
        <w:tabs>
          <w:tab w:val="left" w:pos="2220"/>
        </w:tabs>
        <w:spacing w:after="0"/>
      </w:pPr>
    </w:p>
    <w:p w:rsidR="00175C3D" w:rsidRDefault="009123D8">
      <w:pPr>
        <w:tabs>
          <w:tab w:val="left" w:pos="2220"/>
        </w:tabs>
        <w:spacing w:after="0"/>
        <w:rPr>
          <w:b/>
        </w:rPr>
      </w:pPr>
      <w:r>
        <w:rPr>
          <w:b/>
        </w:rPr>
        <w:t xml:space="preserve">We will refuse any access request that: </w:t>
      </w:r>
    </w:p>
    <w:p w:rsidR="00175C3D" w:rsidRDefault="00175C3D">
      <w:pPr>
        <w:tabs>
          <w:tab w:val="left" w:pos="2220"/>
        </w:tabs>
        <w:spacing w:after="0"/>
      </w:pPr>
    </w:p>
    <w:p w:rsidR="00175C3D" w:rsidRDefault="009123D8">
      <w:pPr>
        <w:pStyle w:val="ListParagraph"/>
        <w:numPr>
          <w:ilvl w:val="0"/>
          <w:numId w:val="4"/>
        </w:numPr>
        <w:tabs>
          <w:tab w:val="left" w:pos="2220"/>
        </w:tabs>
        <w:spacing w:after="0"/>
      </w:pPr>
      <w:r>
        <w:t>The encounter has information from and/or presentation which is not impartial c</w:t>
      </w:r>
      <w:r>
        <w:t xml:space="preserve">areers advice. </w:t>
      </w:r>
    </w:p>
    <w:p w:rsidR="00175C3D" w:rsidRDefault="009123D8">
      <w:pPr>
        <w:pStyle w:val="ListParagraph"/>
        <w:numPr>
          <w:ilvl w:val="0"/>
          <w:numId w:val="4"/>
        </w:numPr>
        <w:tabs>
          <w:tab w:val="left" w:pos="2220"/>
        </w:tabs>
        <w:spacing w:after="0"/>
      </w:pPr>
      <w:r>
        <w:t xml:space="preserve">The encounter has information from and/or presentation that causes major disruption of the school’s academic timetable. </w:t>
      </w:r>
    </w:p>
    <w:p w:rsidR="00175C3D" w:rsidRDefault="009123D8">
      <w:pPr>
        <w:pStyle w:val="ListParagraph"/>
        <w:numPr>
          <w:ilvl w:val="0"/>
          <w:numId w:val="4"/>
        </w:numPr>
        <w:tabs>
          <w:tab w:val="left" w:pos="2220"/>
        </w:tabs>
        <w:spacing w:after="0"/>
      </w:pPr>
      <w:r>
        <w:lastRenderedPageBreak/>
        <w:t>The encounter provides does not offer the opportunity to learn about what work is like or what it takes to be successfu</w:t>
      </w:r>
      <w:r>
        <w:t xml:space="preserve">l in the workplace. </w:t>
      </w:r>
    </w:p>
    <w:p w:rsidR="00175C3D" w:rsidRDefault="009123D8">
      <w:pPr>
        <w:pStyle w:val="ListParagraph"/>
        <w:numPr>
          <w:ilvl w:val="0"/>
          <w:numId w:val="4"/>
        </w:numPr>
        <w:tabs>
          <w:tab w:val="left" w:pos="2220"/>
        </w:tabs>
        <w:spacing w:after="0"/>
      </w:pPr>
      <w:r>
        <w:t>The encounter is requested to take place in an unreasonable timescale.</w:t>
      </w:r>
    </w:p>
    <w:p w:rsidR="00175C3D" w:rsidRDefault="00175C3D">
      <w:pPr>
        <w:tabs>
          <w:tab w:val="left" w:pos="2220"/>
        </w:tabs>
        <w:spacing w:after="0"/>
      </w:pPr>
    </w:p>
    <w:p w:rsidR="00175C3D" w:rsidRDefault="009123D8">
      <w:pPr>
        <w:tabs>
          <w:tab w:val="left" w:pos="2220"/>
        </w:tabs>
        <w:spacing w:after="0"/>
      </w:pPr>
      <w:r>
        <w:rPr>
          <w:b/>
        </w:rPr>
        <w:t>What can providers expect once a request has been accepted?</w:t>
      </w:r>
      <w:r>
        <w:t xml:space="preserve"> </w:t>
      </w:r>
    </w:p>
    <w:p w:rsidR="00175C3D" w:rsidRDefault="00175C3D">
      <w:pPr>
        <w:tabs>
          <w:tab w:val="left" w:pos="2220"/>
        </w:tabs>
        <w:spacing w:after="0"/>
      </w:pPr>
    </w:p>
    <w:p w:rsidR="00175C3D" w:rsidRDefault="009123D8">
      <w:pPr>
        <w:tabs>
          <w:tab w:val="left" w:pos="2220"/>
        </w:tabs>
        <w:spacing w:after="0"/>
      </w:pPr>
      <w:r>
        <w:t>Once we have approved a provider, we will work with them to identify the best method for providing ac</w:t>
      </w:r>
      <w:r>
        <w:t xml:space="preserve">cess to our pupils. </w:t>
      </w:r>
    </w:p>
    <w:p w:rsidR="00175C3D" w:rsidRDefault="00175C3D">
      <w:pPr>
        <w:tabs>
          <w:tab w:val="left" w:pos="2220"/>
        </w:tabs>
        <w:spacing w:after="0"/>
      </w:pPr>
    </w:p>
    <w:p w:rsidR="00175C3D" w:rsidRDefault="009123D8">
      <w:pPr>
        <w:tabs>
          <w:tab w:val="left" w:pos="2220"/>
        </w:tabs>
        <w:spacing w:after="0"/>
      </w:pPr>
      <w:r>
        <w:t xml:space="preserve">We will make the school hall, classrooms and private meeting rooms available to host discussions between providers and pupils. We will also make presentation equipment, such as projectors and televisions, available to providers. </w:t>
      </w:r>
    </w:p>
    <w:p w:rsidR="00175C3D" w:rsidRDefault="00175C3D">
      <w:pPr>
        <w:tabs>
          <w:tab w:val="left" w:pos="2220"/>
        </w:tabs>
        <w:spacing w:after="0"/>
      </w:pPr>
    </w:p>
    <w:p w:rsidR="00175C3D" w:rsidRDefault="009123D8">
      <w:pPr>
        <w:tabs>
          <w:tab w:val="left" w:pos="2220"/>
        </w:tabs>
        <w:spacing w:after="0"/>
      </w:pPr>
      <w:r>
        <w:t>Arr</w:t>
      </w:r>
      <w:r>
        <w:t>angements will be discussed in advance between our careers leader and a nominated member of the provider’s team.</w:t>
      </w:r>
    </w:p>
    <w:p w:rsidR="00175C3D" w:rsidRDefault="00175C3D">
      <w:pPr>
        <w:tabs>
          <w:tab w:val="left" w:pos="2220"/>
        </w:tabs>
        <w:spacing w:after="0"/>
      </w:pPr>
    </w:p>
    <w:p w:rsidR="00175C3D" w:rsidRDefault="009123D8">
      <w:pPr>
        <w:tabs>
          <w:tab w:val="left" w:pos="2220"/>
        </w:tabs>
        <w:spacing w:after="0"/>
      </w:pPr>
      <w:r>
        <w:rPr>
          <w:b/>
        </w:rPr>
        <w:t>Can providers leave prospectuses for pupils to read?</w:t>
      </w:r>
      <w:r>
        <w:t xml:space="preserve"> </w:t>
      </w:r>
    </w:p>
    <w:p w:rsidR="00175C3D" w:rsidRDefault="00175C3D">
      <w:pPr>
        <w:tabs>
          <w:tab w:val="left" w:pos="2220"/>
        </w:tabs>
        <w:spacing w:after="0"/>
      </w:pPr>
    </w:p>
    <w:p w:rsidR="00175C3D" w:rsidRDefault="009123D8">
      <w:pPr>
        <w:tabs>
          <w:tab w:val="left" w:pos="2220"/>
        </w:tabs>
        <w:spacing w:after="0"/>
      </w:pPr>
      <w:r>
        <w:t xml:space="preserve">Providers are welcome to leave a copy of their prospectus and other relevant course </w:t>
      </w:r>
      <w:r>
        <w:t>literature with the school reception for the attention of Mr Killion.</w:t>
      </w:r>
    </w:p>
    <w:sectPr w:rsidR="00175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6CFA"/>
    <w:multiLevelType w:val="hybridMultilevel"/>
    <w:tmpl w:val="E756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03C38"/>
    <w:multiLevelType w:val="hybridMultilevel"/>
    <w:tmpl w:val="D5D8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564F9"/>
    <w:multiLevelType w:val="hybridMultilevel"/>
    <w:tmpl w:val="03AC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248EE"/>
    <w:multiLevelType w:val="hybridMultilevel"/>
    <w:tmpl w:val="1690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43594"/>
    <w:multiLevelType w:val="hybridMultilevel"/>
    <w:tmpl w:val="30F0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2E2F64"/>
    <w:multiLevelType w:val="hybridMultilevel"/>
    <w:tmpl w:val="78AC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A34C0"/>
    <w:multiLevelType w:val="hybridMultilevel"/>
    <w:tmpl w:val="AC9437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3D"/>
    <w:rsid w:val="00175C3D"/>
    <w:rsid w:val="004F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5C2D"/>
  <w15:chartTrackingRefBased/>
  <w15:docId w15:val="{D94A00E1-C318-4A45-823F-84D8F813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style>
  <w:style w:type="paragraph" w:styleId="BodyText">
    <w:name w:val="Body Text"/>
    <w:basedOn w:val="Normal"/>
    <w:link w:val="BodyTextChar"/>
    <w:uiPriority w:val="1"/>
    <w:qFormat/>
    <w:rsid w:val="004F41DE"/>
    <w:pPr>
      <w:widowControl w:val="0"/>
      <w:autoSpaceDE w:val="0"/>
      <w:autoSpaceDN w:val="0"/>
      <w:spacing w:after="0" w:line="240" w:lineRule="auto"/>
      <w:ind w:left="1280"/>
    </w:pPr>
    <w:rPr>
      <w:rFonts w:ascii="Arial" w:eastAsia="Arial" w:hAnsi="Arial" w:cs="Arial"/>
      <w:lang w:val="en-US"/>
    </w:rPr>
  </w:style>
  <w:style w:type="character" w:customStyle="1" w:styleId="BodyTextChar">
    <w:name w:val="Body Text Char"/>
    <w:basedOn w:val="DefaultParagraphFont"/>
    <w:link w:val="BodyText"/>
    <w:uiPriority w:val="1"/>
    <w:rsid w:val="004F41DE"/>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Gabriel's High School</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Nelson</dc:creator>
  <cp:keywords/>
  <dc:description/>
  <cp:lastModifiedBy>Mr Minshall</cp:lastModifiedBy>
  <cp:revision>2</cp:revision>
  <dcterms:created xsi:type="dcterms:W3CDTF">2024-04-17T10:49:00Z</dcterms:created>
  <dcterms:modified xsi:type="dcterms:W3CDTF">2024-04-17T10:49:00Z</dcterms:modified>
</cp:coreProperties>
</file>